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Suesskind Dan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937"/>
        <w:gridCol w:w="459"/>
        <w:gridCol w:w="675"/>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0.76</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0.75</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110,000</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7,792</w:t>
            </w:r>
            <w:r>
              <w:rPr>
                <w:rFonts w:ascii="Times;serif" w:hAnsi="Times;serif"/>
                <w:color w:val="008000"/>
                <w:position w:val="7"/>
                <w:sz w:val="16"/>
                <w:sz w:val="20"/>
                <w:shd w:fill="FFFFFF" w:val="clear"/>
              </w:rPr>
              <w:t>(2)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17,544</w:t>
            </w:r>
            <w:r>
              <w:rPr>
                <w:rFonts w:ascii="Times;serif" w:hAnsi="Times;serif"/>
                <w:color w:val="008000"/>
                <w:position w:val="7"/>
                <w:sz w:val="16"/>
                <w:sz w:val="20"/>
                <w:shd w:fill="FFFFFF" w:val="clear"/>
              </w:rPr>
              <w:t>(3)</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in this row consist of shares underlying restricted share units ("RSUs") that were granted to the Reporting Person by the Issuer on December 10, 2024 and that vest and settle for underlying shares in twelve equal quarterly installments (each for 8.33% of the RSUs granted) such that by the three-year anniversary of the grant date (December 10, 2027)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reported in this row consist of shares underlying RSUs that were granted to the Reporting Person by the Issuer on December 10, 2025 and that vest and settle for underlying shares in twelve equal quarterly installments (each for 8.33% of the RSUs granted) such that by the three-year anniversary of the grant date (December 10,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February 9, 2021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December 28,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December 31, 2023 and vest and become exercisable in 16 equal installments of 6.25% each on each three-month anniversary of the date of approval of the grant by the Issuer's Board of Directors (i.e., August 14, 2023), such that all options reported in this row will be exercisable on the four-year anniversary of that grant approval date (August 14,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553501ex24-1.htm"/>
      <w:bookmarkStart w:id="3" w:name="ksea030553501ex241"/>
      <w:bookmarkEnd w:id="2"/>
      <w:bookmarkEnd w:id="3"/>
      <w:r>
        <w:rPr>
          <w:b/>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“Company”),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5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605"/>
        <w:gridCol w:w="1475"/>
      </w:tblGrid>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20"/>
              </w:rPr>
            </w:pPr>
            <w:r>
              <w:rPr>
                <w:sz w:val="20"/>
              </w:rPr>
              <w:t>By:</w:t>
            </w:r>
          </w:p>
        </w:tc>
        <w:tc>
          <w:tcPr>
            <w:tcW w:w="14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Dan Suesskind</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sz w:val="20"/>
              </w:rPr>
              <w:t>Name:</w:t>
            </w:r>
            <w:r>
              <w:rPr/>
              <w:t> </w:t>
            </w:r>
          </w:p>
        </w:tc>
        <w:tc>
          <w:tcPr>
            <w:tcW w:w="1475" w:type="dxa"/>
            <w:tcBorders/>
            <w:vAlign w:val="center"/>
          </w:tcPr>
          <w:p>
            <w:pPr>
              <w:pStyle w:val="TableContents"/>
              <w:bidi w:val="0"/>
              <w:spacing w:before="0" w:after="283"/>
              <w:jc w:val="left"/>
              <w:rPr>
                <w:sz w:val="20"/>
              </w:rPr>
            </w:pPr>
            <w:r>
              <w:rPr>
                <w:sz w:val="20"/>
              </w:rPr>
              <w:t>Dan Suesskind</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38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1469</Words>
  <Characters>7683</Characters>
  <CharactersWithSpaces>9040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