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saban sharon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NANO-X IMAGING LTD., OFER TECH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SHMELTZER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PETACH TIKVA</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Nano-X Imaging Ltd.</w:t>
              </w:r>
            </w:hyperlink>
            <w:r>
              <w:rPr/>
              <w:t xml:space="preserve"> [ </w:t>
            </w:r>
            <w:r>
              <w:rPr>
                <w:rFonts w:ascii="Times;serif" w:hAnsi="Times;serif"/>
                <w:color w:val="0000FF"/>
                <w:sz w:val="24"/>
                <w:shd w:fill="FFFFFF" w:val="clear"/>
              </w:rPr>
              <w:t>NNOX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Manager AI Division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8"/>
        <w:gridCol w:w="904"/>
        <w:gridCol w:w="773"/>
        <w:gridCol w:w="600"/>
        <w:gridCol w:w="351"/>
        <w:gridCol w:w="939"/>
        <w:gridCol w:w="463"/>
        <w:gridCol w:w="625"/>
        <w:gridCol w:w="1177"/>
        <w:gridCol w:w="100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28,283</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28,283</w:t>
            </w:r>
            <w:r>
              <w:rPr>
                <w:rFonts w:ascii="Times;serif" w:hAnsi="Times;serif"/>
                <w:color w:val="008000"/>
                <w:position w:val="7"/>
                <w:sz w:val="16"/>
                <w:sz w:val="20"/>
                <w:shd w:fill="FFFFFF" w:val="clear"/>
              </w:rPr>
              <w:t>(2)</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26,316</w:t>
            </w:r>
            <w:r>
              <w:rPr>
                <w:rFonts w:ascii="Times;serif" w:hAnsi="Times;serif"/>
                <w:color w:val="008000"/>
                <w:position w:val="7"/>
                <w:sz w:val="16"/>
                <w:sz w:val="20"/>
                <w:shd w:fill="FFFFFF" w:val="clear"/>
              </w:rPr>
              <w:t>(4)</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00"/>
        <w:gridCol w:w="401"/>
        <w:gridCol w:w="906"/>
        <w:gridCol w:w="801"/>
        <w:gridCol w:w="861"/>
        <w:gridCol w:w="801"/>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17.63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09/15/2032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in this row consists of the grant by the Issuer's board of directors to the Reporting Person of 28,283 ordinary shares represented by 28,283 restricted share units ("RSUs"), pursuant to the Issuer's 2019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28,283 RSUs reported in this row vest and settle for underlying ordinary shares in four equal semi-annual installments of 25% each following the vesting commencement date of August 13, 2026-- on February 13, 2027, August 13, 2027, February 13, 2028 and August 13, 2028-- subject, in each case, to the Reporting Person's continuous employment by the Issuer as of the applicable vesting date, such that by the two-year anniversary of the vesting commencement date (August 13, 2028), all underlying shares will be issued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There were no transactions effected in respect of the securities reported in this row, and the holdings in this row are being included for informational purposes only.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ordinary shares reported in this row consist of shares underlying RSUs that were granted to the Reporting Person by the Issuer on February 5, 2026, of which 50% vest and settle for underlying ordinary shares on the 12-month anniversary of the grant date (February 5, 2027) and the remaining 50% vest and settle on the 24-month anniversary of the grant date (February 5,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reported in this row were granted to the Reporting Person by the Issuer on September 15, 2022 and are fully vested and exercisable as of the date of this report.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Marina Gofman Feler,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857303ex24-1.htm"/>
      <w:bookmarkStart w:id="3" w:name="ksea030857303ex241"/>
      <w:bookmarkEnd w:id="2"/>
      <w:bookmarkEnd w:id="3"/>
      <w:r>
        <w:rPr>
          <w:rFonts w:ascii="Times New Roman;Times;Serif" w:hAnsi="Times New Roman;Times;Serif"/>
          <w:b/>
          <w:i w:val="false"/>
          <w:caps w:val="false"/>
          <w:smallCaps w:val="false"/>
          <w:sz w:val="20"/>
        </w:rPr>
        <w:t>Exhibit 24.1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Marina Gofman Feler, Chief Legal Officer of Nano-X Imaging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with full power of substitution, signing individually, the undersigned’s true and lawful attorney-in-fact and agent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Forms 3, 4 and 5 (including amendments thereto and joint filing agreements in connection therewith) in accordance with Section 16(a) of the Securities Exchange Act of 1934, as amended and the rules and regulations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in the undersigned’s capacity as an officer, director or beneficial owner of more than 10% of a registered class of securities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the attorney-in-fact individually, until such attorney-in-fact is no longer employed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18th day of March, 2026.</w:t>
      </w:r>
    </w:p>
    <w:p>
      <w:pPr>
        <w:pStyle w:val="TextBody"/>
        <w:bidi w:val="0"/>
        <w:spacing w:before="0" w:after="0"/>
        <w:ind w:left="0" w:right="0" w:firstLine="72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75"/>
        <w:gridCol w:w="545"/>
        <w:gridCol w:w="13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Sharon Saban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Sharon Saban</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4822" TargetMode="External"/><Relationship Id="rId5" Type="http://schemas.openxmlformats.org/officeDocument/2006/relationships/hyperlink" Target="http://www.sec.gov/cgi-bin/browse-edgar?action=getcompany&amp;CIK=0001795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1363</Words>
  <Characters>7230</Characters>
  <CharactersWithSpaces>8507</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