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ea0304826-6k_nanox.htm"/>
      <w:bookmarkStart w:id="1" w:name="ksea03048266k_nanox"/>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6-K</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rPr>
        <w:t>September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rPr>
        <w:t>001-39461</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NANO-X IMAGING LTD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Ofer Tech Park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 Shlomo Shmeltzer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Petach Tikva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Israel 4970602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Quarterly Results of Operations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2026, NANO-X IMAGING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Nanox</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announced its financial results for the second quarter ended June 30, 2026. A copy of our press release announcing those results is furnished as </w:t>
      </w:r>
      <w:r>
        <w:rPr>
          <w:rFonts w:ascii="Times New Roman;Times;Serif" w:hAnsi="Times New Roman;Times;Serif"/>
          <w:b w:val="false"/>
          <w:i w:val="false"/>
          <w:caps w:val="false"/>
          <w:smallCaps w:val="false"/>
          <w:sz w:val="20"/>
          <w:u w:val="single"/>
        </w:rPr>
        <w:t>Exhibit 99.1</w:t>
      </w:r>
      <w:r>
        <w:rPr>
          <w:rFonts w:ascii="Times New Roman;Times;Serif" w:hAnsi="Times New Roman;Times;Serif"/>
          <w:b w:val="false"/>
          <w:i w:val="false"/>
          <w:caps w:val="false"/>
          <w:smallCaps w:val="false"/>
          <w:sz w:val="20"/>
        </w:rPr>
        <w:t> to this Report of Foreign Private Issuer on Form 6-K (this “</w:t>
      </w:r>
      <w:r>
        <w:rPr>
          <w:rFonts w:ascii="Times New Roman;Times;Serif" w:hAnsi="Times New Roman;Times;Serif"/>
          <w:b/>
          <w:i w:val="false"/>
          <w:caps w:val="false"/>
          <w:smallCaps w:val="false"/>
          <w:sz w:val="20"/>
        </w:rPr>
        <w:t>Form 6-K</w:t>
      </w:r>
      <w:r>
        <w:rPr>
          <w:rFonts w:ascii="Times New Roman;Times;Serif" w:hAnsi="Times New Roman;Times;Serif"/>
          <w:b w:val="false"/>
          <w:i w:val="false"/>
          <w:caps w:val="false"/>
          <w:smallCaps w:val="false"/>
          <w:sz w:val="20"/>
        </w:rPr>
        <w:t>”)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Attached hereto as </w:t>
      </w:r>
      <w:r>
        <w:rPr>
          <w:rFonts w:ascii="Times New Roman;Times;Serif" w:hAnsi="Times New Roman;Times;Serif"/>
          <w:b w:val="false"/>
          <w:i w:val="false"/>
          <w:caps w:val="false"/>
          <w:smallCaps w:val="false"/>
          <w:sz w:val="20"/>
          <w:u w:val="single"/>
        </w:rPr>
        <w:t>Exhibit 99.2</w:t>
      </w:r>
      <w:r>
        <w:rPr>
          <w:rFonts w:ascii="Times New Roman;Times;Serif" w:hAnsi="Times New Roman;Times;Serif"/>
          <w:b w:val="false"/>
          <w:i w:val="false"/>
          <w:caps w:val="false"/>
          <w:smallCaps w:val="false"/>
          <w:sz w:val="20"/>
        </w:rPr>
        <w:t xml:space="preserve"> are the unaudited, condensed consolidated financial statements of Nanox as of, and for the three and six months ended, June 30, 2026 (including the notes thereto) (the “</w:t>
      </w:r>
      <w:r>
        <w:rPr>
          <w:rFonts w:ascii="Times New Roman;Times;Serif" w:hAnsi="Times New Roman;Times;Serif"/>
          <w:b/>
          <w:i w:val="false"/>
          <w:caps w:val="false"/>
          <w:smallCaps w:val="false"/>
          <w:sz w:val="20"/>
        </w:rPr>
        <w:t>Q2 2026 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Attached hereto as </w:t>
      </w:r>
      <w:r>
        <w:rPr>
          <w:rFonts w:ascii="Times New Roman;Times;Serif" w:hAnsi="Times New Roman;Times;Serif"/>
          <w:b w:val="false"/>
          <w:i w:val="false"/>
          <w:caps w:val="false"/>
          <w:smallCaps w:val="false"/>
          <w:sz w:val="20"/>
          <w:u w:val="single"/>
        </w:rPr>
        <w:t>Exhibit 99.3</w:t>
      </w:r>
      <w:r>
        <w:rPr>
          <w:rFonts w:ascii="Times New Roman;Times;Serif" w:hAnsi="Times New Roman;Times;Serif"/>
          <w:b w:val="false"/>
          <w:i w:val="false"/>
          <w:caps w:val="false"/>
          <w:smallCaps w:val="false"/>
          <w:sz w:val="20"/>
        </w:rPr>
        <w:t xml:space="preserve"> are Nanox’s Operating and Financial Review and Prospects as of, and for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Attached hereto as </w:t>
      </w:r>
      <w:r>
        <w:rPr>
          <w:rFonts w:ascii="Times New Roman;Times;Serif" w:hAnsi="Times New Roman;Times;Serif"/>
          <w:b w:val="false"/>
          <w:i w:val="false"/>
          <w:caps w:val="false"/>
          <w:smallCaps w:val="false"/>
          <w:sz w:val="20"/>
          <w:u w:val="single"/>
          <w:shd w:fill="FFFFFF" w:val="clear"/>
        </w:rPr>
        <w:t>Exhibit 101</w:t>
      </w:r>
      <w:r>
        <w:rPr>
          <w:rFonts w:ascii="Times New Roman;Times;Serif" w:hAnsi="Times New Roman;Times;Serif"/>
          <w:b w:val="false"/>
          <w:i w:val="false"/>
          <w:caps w:val="false"/>
          <w:smallCaps w:val="false"/>
          <w:sz w:val="20"/>
          <w:shd w:fill="FFFFFF" w:val="clear"/>
        </w:rPr>
        <w:t xml:space="preserve"> are the Q2 2026 Fina</w:t>
      </w:r>
      <w:r>
        <w:rPr>
          <w:rFonts w:ascii="Times New Roman;Times;Serif" w:hAnsi="Times New Roman;Times;Serif"/>
          <w:b w:val="false"/>
          <w:i w:val="false"/>
          <w:caps w:val="false"/>
          <w:smallCaps w:val="false"/>
          <w:sz w:val="20"/>
        </w:rPr>
        <w:t>ncial Statements, formatted in IXBRL (eXtensible Business Reporting Language), consisting of the sub-exhibits listed in the exhibit table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11"/>
        <w:gridCol w:w="60"/>
        <w:gridCol w:w="9034"/>
      </w:tblGrid>
      <w:tr>
        <w:trPr/>
        <w:tc>
          <w:tcPr>
            <w:tcW w:w="1111" w:type="dxa"/>
            <w:tcBorders>
              <w:bottom w:val="single" w:sz="12" w:space="0" w:color="000000"/>
            </w:tcBorders>
            <w:vAlign w:val="center"/>
          </w:tcPr>
          <w:p>
            <w:pPr>
              <w:pStyle w:val="TableContents"/>
              <w:bidi w:val="0"/>
              <w:spacing w:before="0" w:after="283"/>
              <w:jc w:val="left"/>
              <w:rPr>
                <w:b/>
              </w:rPr>
            </w:pPr>
            <w:r>
              <w:rPr>
                <w:b/>
              </w:rPr>
              <w:t xml:space="preserve">Exhibit </w:t>
              <w:br/>
              <w:t>Number</w:t>
            </w:r>
          </w:p>
        </w:tc>
        <w:tc>
          <w:tcPr>
            <w:tcW w:w="60" w:type="dxa"/>
            <w:tcBorders/>
            <w:tcMar>
              <w:bottom w:w="0" w:type="dxa"/>
            </w:tcMar>
            <w:vAlign w:val="center"/>
          </w:tcPr>
          <w:p>
            <w:pPr>
              <w:pStyle w:val="TableContents"/>
              <w:bidi w:val="0"/>
              <w:spacing w:before="0" w:after="283"/>
              <w:jc w:val="left"/>
              <w:rPr/>
            </w:pPr>
            <w:r>
              <w:rPr/>
              <w:t> </w:t>
            </w:r>
          </w:p>
        </w:tc>
        <w:tc>
          <w:tcPr>
            <w:tcW w:w="9034" w:type="dxa"/>
            <w:tcBorders>
              <w:bottom w:val="single" w:sz="12" w:space="0" w:color="000000"/>
            </w:tcBorders>
            <w:vAlign w:val="center"/>
          </w:tcPr>
          <w:p>
            <w:pPr>
              <w:pStyle w:val="TableContents"/>
              <w:bidi w:val="0"/>
              <w:spacing w:before="0" w:after="283"/>
              <w:jc w:val="left"/>
              <w:rPr>
                <w:b/>
              </w:rPr>
            </w:pPr>
            <w:r>
              <w:rPr>
                <w:b/>
              </w:rPr>
              <w:t>Document Description</w:t>
            </w:r>
          </w:p>
        </w:tc>
      </w:tr>
      <w:tr>
        <w:trPr/>
        <w:tc>
          <w:tcPr>
            <w:tcW w:w="1111" w:type="dxa"/>
            <w:tcBorders/>
            <w:shd w:fill="CCEEFF" w:val="clear"/>
            <w:tcMar>
              <w:bottom w:w="0" w:type="dxa"/>
            </w:tcMar>
            <w:vAlign w:val="center"/>
          </w:tcPr>
          <w:p>
            <w:pPr>
              <w:pStyle w:val="TableContents"/>
              <w:bidi w:val="0"/>
              <w:spacing w:before="0" w:after="283"/>
              <w:jc w:val="left"/>
              <w:rPr/>
            </w:pPr>
            <w:r>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34" w:type="dxa"/>
            <w:tcBorders/>
            <w:shd w:fill="CCEEFF" w:val="clear"/>
            <w:tcMar>
              <w:bottom w:w="0" w:type="dxa"/>
            </w:tcMar>
            <w:vAlign w:val="center"/>
          </w:tcPr>
          <w:p>
            <w:pPr>
              <w:pStyle w:val="TableContents"/>
              <w:bidi w:val="0"/>
              <w:spacing w:before="0" w:after="283"/>
              <w:jc w:val="both"/>
              <w:rPr/>
            </w:pPr>
            <w:hyperlink w:anchor="ea030482601ex99-1.htm">
              <w:r>
                <w:rPr>
                  <w:rStyle w:val="InternetLink"/>
                </w:rPr>
                <w:t>Earnings press release of Nanox for the second quarter ended June 30, 2026</w:t>
              </w:r>
            </w:hyperlink>
          </w:p>
        </w:tc>
      </w:tr>
      <w:tr>
        <w:trPr/>
        <w:tc>
          <w:tcPr>
            <w:tcW w:w="1111" w:type="dxa"/>
            <w:tcBorders/>
            <w:shd w:fill="FFFFFF" w:val="clear"/>
            <w:tcMar>
              <w:bottom w:w="0" w:type="dxa"/>
            </w:tcMar>
            <w:vAlign w:val="center"/>
          </w:tcPr>
          <w:p>
            <w:pPr>
              <w:pStyle w:val="TableContents"/>
              <w:bidi w:val="0"/>
              <w:spacing w:before="0" w:after="283"/>
              <w:jc w:val="left"/>
              <w:rPr/>
            </w:pPr>
            <w:r>
              <w:rPr/>
              <w:t>99.2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34" w:type="dxa"/>
            <w:tcBorders/>
            <w:shd w:fill="FFFFFF" w:val="clear"/>
            <w:tcMar>
              <w:bottom w:w="0" w:type="dxa"/>
            </w:tcMar>
            <w:vAlign w:val="center"/>
          </w:tcPr>
          <w:p>
            <w:pPr>
              <w:pStyle w:val="TableContents"/>
              <w:bidi w:val="0"/>
              <w:spacing w:before="0" w:after="283"/>
              <w:jc w:val="both"/>
              <w:rPr/>
            </w:pPr>
            <w:hyperlink w:anchor="ea030482601ex99-2.htm">
              <w:r>
                <w:rPr>
                  <w:rStyle w:val="InternetLink"/>
                </w:rPr>
                <w:t>Unaudited, condensed consolidated financial statements of Nanox as of, and for the three and six months ended, June 30, 2026</w:t>
              </w:r>
            </w:hyperlink>
          </w:p>
        </w:tc>
      </w:tr>
      <w:tr>
        <w:trPr/>
        <w:tc>
          <w:tcPr>
            <w:tcW w:w="1111" w:type="dxa"/>
            <w:tcBorders/>
            <w:shd w:fill="CCEEFF" w:val="clear"/>
            <w:tcMar>
              <w:bottom w:w="0" w:type="dxa"/>
            </w:tcMar>
            <w:vAlign w:val="center"/>
          </w:tcPr>
          <w:p>
            <w:pPr>
              <w:pStyle w:val="TableContents"/>
              <w:bidi w:val="0"/>
              <w:spacing w:before="0" w:after="283"/>
              <w:jc w:val="left"/>
              <w:rPr/>
            </w:pPr>
            <w:r>
              <w:rPr/>
              <w:t>99.3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34" w:type="dxa"/>
            <w:tcBorders/>
            <w:shd w:fill="CCEEFF" w:val="clear"/>
            <w:tcMar>
              <w:bottom w:w="0" w:type="dxa"/>
            </w:tcMar>
            <w:vAlign w:val="center"/>
          </w:tcPr>
          <w:p>
            <w:pPr>
              <w:pStyle w:val="TableContents"/>
              <w:bidi w:val="0"/>
              <w:spacing w:before="0" w:after="283"/>
              <w:jc w:val="both"/>
              <w:rPr/>
            </w:pPr>
            <w:hyperlink w:anchor="ea030482601ex99-3.htm">
              <w:r>
                <w:rPr>
                  <w:rStyle w:val="InternetLink"/>
                </w:rPr>
                <w:t>Nanox’s review of its results of operations and financial condition as of, and for the six months ended, June 30, 2026</w:t>
              </w:r>
            </w:hyperlink>
          </w:p>
        </w:tc>
      </w:tr>
      <w:tr>
        <w:trPr/>
        <w:tc>
          <w:tcPr>
            <w:tcW w:w="1111" w:type="dxa"/>
            <w:tcBorders/>
            <w:shd w:fill="FFFFFF" w:val="clear"/>
            <w:tcMar>
              <w:bottom w:w="0" w:type="dxa"/>
            </w:tcMar>
            <w:vAlign w:val="center"/>
          </w:tcPr>
          <w:p>
            <w:pPr>
              <w:pStyle w:val="TableContents"/>
              <w:bidi w:val="0"/>
              <w:spacing w:before="0" w:after="283"/>
              <w:jc w:val="left"/>
              <w:rPr/>
            </w:pPr>
            <w:r>
              <w:rPr/>
              <w:t>EX-101.INS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34" w:type="dxa"/>
            <w:tcBorders/>
            <w:shd w:fill="FFFFFF" w:val="clear"/>
            <w:tcMar>
              <w:bottom w:w="0" w:type="dxa"/>
            </w:tcMar>
            <w:vAlign w:val="center"/>
          </w:tcPr>
          <w:p>
            <w:pPr>
              <w:pStyle w:val="TableContents"/>
              <w:bidi w:val="0"/>
              <w:spacing w:before="0" w:after="283"/>
              <w:jc w:val="both"/>
              <w:rPr/>
            </w:pPr>
            <w:r>
              <w:rPr/>
              <w:t>IXBRL Taxonomy Instance Document - the instance document does not appear in the Interactive Data File because its XBRL tags are embedded within the Inline XBRL document</w:t>
            </w:r>
          </w:p>
        </w:tc>
      </w:tr>
      <w:tr>
        <w:trPr/>
        <w:tc>
          <w:tcPr>
            <w:tcW w:w="1111" w:type="dxa"/>
            <w:tcBorders/>
            <w:shd w:fill="CCEEFF" w:val="clear"/>
            <w:tcMar>
              <w:bottom w:w="0" w:type="dxa"/>
            </w:tcMar>
            <w:vAlign w:val="center"/>
          </w:tcPr>
          <w:p>
            <w:pPr>
              <w:pStyle w:val="TableContents"/>
              <w:bidi w:val="0"/>
              <w:spacing w:before="0" w:after="283"/>
              <w:jc w:val="left"/>
              <w:rPr/>
            </w:pPr>
            <w:r>
              <w:rPr/>
              <w:t>EX-101.SCH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34" w:type="dxa"/>
            <w:tcBorders/>
            <w:shd w:fill="CCEEFF" w:val="clear"/>
            <w:tcMar>
              <w:bottom w:w="0" w:type="dxa"/>
            </w:tcMar>
            <w:vAlign w:val="center"/>
          </w:tcPr>
          <w:p>
            <w:pPr>
              <w:pStyle w:val="TableContents"/>
              <w:bidi w:val="0"/>
              <w:spacing w:before="0" w:after="283"/>
              <w:jc w:val="both"/>
              <w:rPr/>
            </w:pPr>
            <w:r>
              <w:rPr/>
              <w:t>IXBRL Taxonomy Extension Schema Document</w:t>
            </w:r>
          </w:p>
        </w:tc>
      </w:tr>
      <w:tr>
        <w:trPr/>
        <w:tc>
          <w:tcPr>
            <w:tcW w:w="1111" w:type="dxa"/>
            <w:tcBorders/>
            <w:shd w:fill="FFFFFF" w:val="clear"/>
            <w:tcMar>
              <w:bottom w:w="0" w:type="dxa"/>
            </w:tcMar>
            <w:vAlign w:val="center"/>
          </w:tcPr>
          <w:p>
            <w:pPr>
              <w:pStyle w:val="TableContents"/>
              <w:bidi w:val="0"/>
              <w:spacing w:before="0" w:after="283"/>
              <w:jc w:val="left"/>
              <w:rPr/>
            </w:pPr>
            <w:r>
              <w:rPr/>
              <w:t>EX-101.CAL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34" w:type="dxa"/>
            <w:tcBorders/>
            <w:shd w:fill="FFFFFF" w:val="clear"/>
            <w:tcMar>
              <w:bottom w:w="0" w:type="dxa"/>
            </w:tcMar>
            <w:vAlign w:val="center"/>
          </w:tcPr>
          <w:p>
            <w:pPr>
              <w:pStyle w:val="TableContents"/>
              <w:bidi w:val="0"/>
              <w:spacing w:before="0" w:after="283"/>
              <w:jc w:val="left"/>
              <w:rPr/>
            </w:pPr>
            <w:r>
              <w:rPr/>
              <w:t>IXBRL Taxonomy Calculation Linkbase Document</w:t>
            </w:r>
          </w:p>
        </w:tc>
      </w:tr>
      <w:tr>
        <w:trPr/>
        <w:tc>
          <w:tcPr>
            <w:tcW w:w="1111" w:type="dxa"/>
            <w:tcBorders/>
            <w:shd w:fill="CCEEFF" w:val="clear"/>
            <w:tcMar>
              <w:bottom w:w="0" w:type="dxa"/>
            </w:tcMar>
            <w:vAlign w:val="center"/>
          </w:tcPr>
          <w:p>
            <w:pPr>
              <w:pStyle w:val="TableContents"/>
              <w:bidi w:val="0"/>
              <w:spacing w:before="0" w:after="283"/>
              <w:jc w:val="left"/>
              <w:rPr/>
            </w:pPr>
            <w:r>
              <w:rPr/>
              <w:t>EX-101.DEF</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34" w:type="dxa"/>
            <w:tcBorders/>
            <w:shd w:fill="CCEEFF" w:val="clear"/>
            <w:tcMar>
              <w:bottom w:w="0" w:type="dxa"/>
            </w:tcMar>
            <w:vAlign w:val="center"/>
          </w:tcPr>
          <w:p>
            <w:pPr>
              <w:pStyle w:val="TableContents"/>
              <w:bidi w:val="0"/>
              <w:spacing w:before="0" w:after="283"/>
              <w:jc w:val="left"/>
              <w:rPr/>
            </w:pPr>
            <w:r>
              <w:rPr/>
              <w:t>IXBRL Taxonomy Extension Definition Linkbase Document</w:t>
            </w:r>
          </w:p>
        </w:tc>
      </w:tr>
      <w:tr>
        <w:trPr/>
        <w:tc>
          <w:tcPr>
            <w:tcW w:w="1111" w:type="dxa"/>
            <w:tcBorders/>
            <w:shd w:fill="FFFFFF" w:val="clear"/>
            <w:tcMar>
              <w:bottom w:w="0" w:type="dxa"/>
            </w:tcMar>
            <w:vAlign w:val="center"/>
          </w:tcPr>
          <w:p>
            <w:pPr>
              <w:pStyle w:val="TableContents"/>
              <w:bidi w:val="0"/>
              <w:spacing w:before="0" w:after="283"/>
              <w:jc w:val="left"/>
              <w:rPr/>
            </w:pPr>
            <w:r>
              <w:rPr/>
              <w:t>EX-101.LAB</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34" w:type="dxa"/>
            <w:tcBorders/>
            <w:shd w:fill="FFFFFF" w:val="clear"/>
            <w:tcMar>
              <w:bottom w:w="0" w:type="dxa"/>
            </w:tcMar>
            <w:vAlign w:val="center"/>
          </w:tcPr>
          <w:p>
            <w:pPr>
              <w:pStyle w:val="TableContents"/>
              <w:bidi w:val="0"/>
              <w:spacing w:before="0" w:after="283"/>
              <w:jc w:val="left"/>
              <w:rPr/>
            </w:pPr>
            <w:r>
              <w:rPr/>
              <w:t>IXBRL Taxonomy Label Linkbase Document</w:t>
            </w:r>
          </w:p>
        </w:tc>
      </w:tr>
      <w:tr>
        <w:trPr/>
        <w:tc>
          <w:tcPr>
            <w:tcW w:w="1111" w:type="dxa"/>
            <w:tcBorders/>
            <w:shd w:fill="CCEEFF" w:val="clear"/>
            <w:tcMar>
              <w:bottom w:w="0" w:type="dxa"/>
            </w:tcMar>
            <w:vAlign w:val="center"/>
          </w:tcPr>
          <w:p>
            <w:pPr>
              <w:pStyle w:val="TableContents"/>
              <w:bidi w:val="0"/>
              <w:spacing w:before="0" w:after="283"/>
              <w:jc w:val="left"/>
              <w:rPr/>
            </w:pPr>
            <w:r>
              <w:rPr/>
              <w:t>EX-101.PRE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34" w:type="dxa"/>
            <w:tcBorders/>
            <w:shd w:fill="CCEEFF" w:val="clear"/>
            <w:tcMar>
              <w:bottom w:w="0" w:type="dxa"/>
            </w:tcMar>
            <w:vAlign w:val="center"/>
          </w:tcPr>
          <w:p>
            <w:pPr>
              <w:pStyle w:val="TableContents"/>
              <w:bidi w:val="0"/>
              <w:spacing w:before="0" w:after="283"/>
              <w:jc w:val="left"/>
              <w:rPr/>
            </w:pPr>
            <w:r>
              <w:rPr/>
              <w:t>IXBRL Taxonomy Presentation Linkbase Document</w:t>
            </w:r>
          </w:p>
        </w:tc>
      </w:tr>
      <w:tr>
        <w:trPr/>
        <w:tc>
          <w:tcPr>
            <w:tcW w:w="1111" w:type="dxa"/>
            <w:tcBorders/>
            <w:shd w:fill="FFFFFF" w:val="clear"/>
            <w:tcMar>
              <w:bottom w:w="0" w:type="dxa"/>
            </w:tcMar>
            <w:vAlign w:val="center"/>
          </w:tcPr>
          <w:p>
            <w:pPr>
              <w:pStyle w:val="TableContents"/>
              <w:bidi w:val="0"/>
              <w:spacing w:before="0" w:after="283"/>
              <w:jc w:val="left"/>
              <w:rPr/>
            </w:pPr>
            <w:r>
              <w:rPr/>
              <w:t>EX-104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34" w:type="dxa"/>
            <w:tcBorders/>
            <w:shd w:fill="FFFFFF" w:val="clear"/>
            <w:tcMar>
              <w:bottom w:w="0" w:type="dxa"/>
            </w:tcMar>
            <w:vAlign w:val="center"/>
          </w:tcPr>
          <w:p>
            <w:pPr>
              <w:pStyle w:val="TableContents"/>
              <w:bidi w:val="0"/>
              <w:spacing w:before="0" w:after="283"/>
              <w:jc w:val="both"/>
              <w:rPr/>
            </w:pPr>
            <w:r>
              <w:rPr/>
              <w:t>Cover Page Interactive Data File – the cover page interactive data file does not appear in the Interactive Data File because its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The Q2 2026 Financial Statements attached to this Form 6-K as Exhibit 99.2 and the Operating and Financial Review and Prospects as of, and for the six months ended, June 30, 2026 attached to this Form 6-K as Exhibit 99.3, are incorporated by reference into the Company’s Registration Statements on </w:t>
      </w:r>
      <w:hyperlink r:id="rId2">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(File No. 333-294302), and </w:t>
      </w:r>
      <w:hyperlink r:id="rId3">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(File No. 333-248322).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8985" w:type="dxa"/>
        <w:jc w:val="left"/>
        <w:tblInd w:w="0" w:type="dxa"/>
        <w:tblLayout w:type="fixed"/>
        <w:tblCellMar>
          <w:top w:w="0" w:type="dxa"/>
          <w:left w:w="0" w:type="dxa"/>
          <w:bottom w:w="0" w:type="dxa"/>
          <w:right w:w="0" w:type="dxa"/>
        </w:tblCellMar>
      </w:tblPr>
      <w:tblGrid>
        <w:gridCol w:w="2690"/>
        <w:gridCol w:w="650"/>
        <w:gridCol w:w="5645"/>
      </w:tblGrid>
      <w:tr>
        <w:trPr/>
        <w:tc>
          <w:tcPr>
            <w:tcW w:w="2690" w:type="dxa"/>
            <w:tcBorders/>
            <w:vAlign w:val="center"/>
          </w:tcPr>
          <w:p>
            <w:pPr>
              <w:pStyle w:val="TableContents"/>
              <w:bidi w:val="0"/>
              <w:spacing w:before="0" w:after="283"/>
              <w:jc w:val="left"/>
              <w:rPr/>
            </w:pPr>
            <w:r>
              <w:rPr/>
              <w:t>NANO-X IMAGING LTD</w:t>
            </w:r>
          </w:p>
        </w:tc>
        <w:tc>
          <w:tcPr>
            <w:tcW w:w="65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(Registrant)</w:t>
            </w:r>
          </w:p>
        </w:tc>
        <w:tc>
          <w:tcPr>
            <w:tcW w:w="65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Date: September 9, 2026</w:t>
            </w:r>
          </w:p>
        </w:tc>
        <w:tc>
          <w:tcPr>
            <w:tcW w:w="650" w:type="dxa"/>
            <w:tcBorders/>
            <w:vAlign w:val="center"/>
          </w:tcPr>
          <w:p>
            <w:pPr>
              <w:pStyle w:val="TableContents"/>
              <w:bidi w:val="0"/>
              <w:spacing w:before="0" w:after="283"/>
              <w:jc w:val="left"/>
              <w:rPr/>
            </w:pPr>
            <w:r>
              <w:rPr/>
              <w:t>By:</w:t>
            </w:r>
          </w:p>
        </w:tc>
        <w:tc>
          <w:tcPr>
            <w:tcW w:w="5645" w:type="dxa"/>
            <w:tcBorders>
              <w:bottom w:val="single" w:sz="12" w:space="0" w:color="000000"/>
            </w:tcBorders>
            <w:tcMar>
              <w:bottom w:w="28" w:type="dxa"/>
            </w:tcMar>
            <w:vAlign w:val="center"/>
          </w:tcPr>
          <w:p>
            <w:pPr>
              <w:pStyle w:val="TableContents"/>
              <w:bidi w:val="0"/>
              <w:spacing w:before="0" w:after="283"/>
              <w:jc w:val="left"/>
              <w:rPr/>
            </w:pPr>
            <w:r>
              <w:rPr/>
              <w:t>/s/ Erez Meltzer</w:t>
            </w:r>
          </w:p>
        </w:tc>
      </w:tr>
      <w:tr>
        <w:trPr/>
        <w:tc>
          <w:tcPr>
            <w:tcW w:w="269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Name:</w:t>
            </w:r>
          </w:p>
        </w:tc>
        <w:tc>
          <w:tcPr>
            <w:tcW w:w="5645" w:type="dxa"/>
            <w:tcBorders/>
            <w:vAlign w:val="center"/>
          </w:tcPr>
          <w:p>
            <w:pPr>
              <w:pStyle w:val="TableContents"/>
              <w:bidi w:val="0"/>
              <w:spacing w:before="0" w:after="283"/>
              <w:jc w:val="left"/>
              <w:rPr/>
            </w:pPr>
            <w:r>
              <w:rPr/>
              <w:t>Erez Meltzer</w:t>
            </w:r>
          </w:p>
        </w:tc>
      </w:tr>
      <w:tr>
        <w:trPr/>
        <w:tc>
          <w:tcPr>
            <w:tcW w:w="269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Title:</w:t>
            </w:r>
          </w:p>
        </w:tc>
        <w:tc>
          <w:tcPr>
            <w:tcW w:w="5645" w:type="dxa"/>
            <w:tcBorders/>
            <w:vAlign w:val="center"/>
          </w:tcPr>
          <w:p>
            <w:pPr>
              <w:pStyle w:val="TableContents"/>
              <w:bidi w:val="0"/>
              <w:spacing w:before="0" w:after="283"/>
              <w:jc w:val="left"/>
              <w:rPr/>
            </w:pPr>
            <w:r>
              <w:rPr/>
              <w:t>Chief Executive Officer and Acting Chairman of the Board</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bookmarkStart w:id="2" w:name="ea030482601ex99-1.htm"/>
      <w:bookmarkStart w:id="3" w:name="ksea030482601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Announces Second Quarter 2026 Financial Results and Provides Business Updates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Management to host conference call and webcast on Wednesday, September 9, 2026 at 8:30 AM ET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PETACH TIKVA, Israel — September 9, 2026 — NANO-X IMAGING LTD (NASDAQ: NNOX) (“</w:t>
      </w:r>
      <w:r>
        <w:rPr>
          <w:rFonts w:ascii="Times New Roman;Times;Serif" w:hAnsi="Times New Roman;Times;Serif"/>
          <w:b/>
          <w:i w:val="false"/>
          <w:caps w:val="false"/>
          <w:smallCaps w:val="false"/>
          <w:sz w:val="20"/>
        </w:rPr>
        <w:t>Nanox</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 innovative medical imaging technology company, today announced results for the second quarter ended June 30, 2026, and provided a business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Business Highlights: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Expanded Nanox’s presence in the U.S. through additional distribution partner agreement.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Advanced capital equipment sales through additional Nanox.ARC capex agreements, adding a deployed Nanox.ARC system to an internationally recognized orthopedic center in Florida, part of an integrated delivery network (IDN).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bl>
    <w:tbl>
      <w:tblPr>
        <w:tblW w:w="7735" w:type="dxa"/>
        <w:jc w:val="left"/>
        <w:tblInd w:w="0" w:type="dxa"/>
        <w:tblLayout w:type="fixed"/>
        <w:tblCellMar>
          <w:top w:w="0" w:type="dxa"/>
          <w:left w:w="0" w:type="dxa"/>
          <w:bottom w:w="0" w:type="dxa"/>
          <w:right w:w="0" w:type="dxa"/>
        </w:tblCellMar>
      </w:tblPr>
      <w:tblGrid>
        <w:gridCol w:w="75"/>
        <w:gridCol w:w="170"/>
        <w:gridCol w:w="749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Launched the first Nanox Imaging Network (NIN) site, with first patient scans.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49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Signed a distribution agreement in Costa Rica, supporting the Company’s continued expansion across Latin America.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Continued Nanox.AI commercial and clinical momentum, adding an exclusive reseller agreement with Vertec Scientific and launching five new pilot programs.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Furthered the broad restructuring of Korea operations, including transitioning substantially all chip manufacturing activities to qualified third-party manufacturing partners and undertaking other efficiency initiatives, including a 67% reduction in workforce. The restructuring is expected to result in approximately $0.9 million of restructuring-related expenses and is expected to generate annual cost savings of approximately $2 million starting in 2027.</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Expanded Nanox Health IT’s commercial activity following its acquisition at the end of 2025, with a growing customer base and more than 20 new projects going live during the first half of 2026, while making a meaningful contribution to Nanox’s revenue.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no material change in the number of Nanox.ARC systems in various stages of deployment from the levels previously reported by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To date there has been tangible progress in our commercialization strategy. We have expanded our U.S. distribution footprint to ten partners and begun patient scanning at our first Nanox Imaging Network site in Philadelphia. We have begun receiving reimbursement for scans from insurers for our NIN business. At the same time, Nanox.AI is gaining commercial traction from our new agreement with Vertec Scientific in the UK. In addition, we are advancing our efforts to pursue a potential new CMS reimbursement pathway that could support broader adoption,” said Erez Meltzer, Acting Chairman and Chief Executive Officer. “We have also implemented a multi-pronged cost reduction initiative that includes the restructuring of our South Korea operations, and have raised additional capital to support our operations. We remain focused on disciplined execution as we move systems from our sales pipeline into active clinical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 2026 Financial Highlights: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Q2 2026 revenues were $4.2 million, compared to $3.0 million in Q2 2025, representing a year-over-year increase of 37%. The increase was driven primarily by the consolidation of the Nanox Health IT (formerly known as Vaso Healthcare IT) business, which was consolidated as of November 19, 2025 and accounted for $0.9 million in Q2 2026. The Company generated revenues of $3.0 million from our teleradiology services, $1.0 million from our AI and Software Solutions, and $0.2 million from the sale of imaging systems and OEM services.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Q2 2026 adjusted EBITDA loss (a financial measure that is derived as described below under “</w:t>
            </w:r>
            <w:r>
              <w:rPr>
                <w:rFonts w:ascii="Times New Roman;Times;Serif" w:hAnsi="Times New Roman;Times;Serif"/>
                <w:i/>
              </w:rPr>
              <w:t>Non-GAAP Financial Measures</w:t>
            </w:r>
            <w:r>
              <w:rPr>
                <w:rFonts w:ascii="Times New Roman;Times;Serif" w:hAnsi="Times New Roman;Times;Serif"/>
              </w:rPr>
              <w:t>”) was $11.3 million, compared with adjusted EBITDA loss of $10.4 million in Q2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Q2 2026 GAAP gross loss margin was (1,051%), compared to a GAAP gross loss margin of (107%) for Q2 2025. Non-GAAP gross loss margin was (13%), compared to non-GAAP gross loss margin of (21%) in Q2 2025. </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applicable accounting standards, as of June 30, 2026, the Company performed an impairment assessment of its asset groups. The impairment assessment was triggered by a significant decline in the Company’s share price and reduced forecasted revenues and operating results. The Company recorded an impairment charge of $40.7 million, which was recorded to cost of revenues - impairment of intangible assets, reducing the fair value of the intangible assets related to its AI solutions business unit (excluding Nanox Health IT) to $1.9 million.</w:t>
            </w:r>
          </w:p>
          <w:p>
            <w:pPr>
              <w:pStyle w:val="TableContents"/>
              <w:bidi w:val="0"/>
              <w:jc w:val="both"/>
              <w:rPr/>
            </w:pPr>
            <w:r>
              <w:rPr/>
              <w:t> </w:t>
            </w:r>
          </w:p>
          <w:p>
            <w:pPr>
              <w:pStyle w:val="TableContents"/>
              <w:bidi w:val="0"/>
              <w:spacing w:before="0" w:after="283"/>
              <w:jc w:val="both"/>
              <w:rPr>
                <w:rFonts w:ascii="Times New Roman;Times;Serif" w:hAnsi="Times New Roman;Times;Serif"/>
              </w:rPr>
            </w:pPr>
            <w:r>
              <w:rPr>
                <w:rFonts w:ascii="Times New Roman;Times;Serif" w:hAnsi="Times New Roman;Times;Serif"/>
              </w:rPr>
              <w:t>The Company also re-evaluated the remaining useful lives of its intangible assets and concluded that no changes were necessary. The impairment charge did not result in any cash outflow or impact the Company’s liquidity and was excluded from the calculation of adjusted EBITDA loss for the period.</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Q2 2026 GAAP operating expenses were $11.8 million, compared to GAAP operating expenses of $11.3 million in Q2 2025. Q2 2026 non-GAAP operating expenses were $11.1 million, compared to non-GAAP operating expenses of $10.0 million in Q2 2025. The increase was primarily driven by the consolidation of the Nanox Health IT business and an increase in legal expenses.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Q2 2026 GAAP net loss was $55.5 million, compared to a GAAP net loss of $14.7 million in Q2 2025. Q2 2026 non-GAAP net loss was $11.6 million, compared to a non-GAAP net loss of $10.9 million in Q2 2025. The increase in net loss was mainly attributable to the impairment charge related to certain intangible assets, as described above.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Cash and cash equivalents as of June 30, 2026, were $31.4 million. This compares to a cash and cash equivalents balance of $60.0 million as of December 31, 2025.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Post-quarter-end, the Company raised aggregate gross proceeds of $8.5 million from a registered-direct offering and the Company’s at-the-market program. The Company intends to continue raising funds from various sources to strengthen its balance sheet and support its activities.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regarding the Company’s financial results and financial condition, including additional information regarding the impairment assessment described above, is included in the Company’s unaudited condensed consolidated financial statements as of, and for the three-month and six-month periods ended on, June 30, 2026, and the related Operating and Financial Review and Prospects for the six months ended June 30, 2026, attached as exhibits to the Company’s Report of Foreign Private Issuer on Form 6-K furnished to the SEC today.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2026, a class action complaint was filed in the United States District Court of New Jersey against the Company and certain of its officers, captioned Steele v. Nano-X Imaging Ltd. et al, Case No. 1:26-cv-07062. The complaint alleges violations of federal securities laws on behalf of all persons and entities that purchased or otherwise acquired the Company’s publicly traded securities between March 31, 2025 and April 17, 2026 in connection with certain disclosures concerning the Company’s business, operations, and prospects, including with respect to the Company’s manufacturing facility in Korea. The plaintiff is seeking money damages. On August 11, 2026, three shareholders filed motions for appointment as lead plaintiff, which remain outstanding. Due to the early stage of the case, it is not possible to assess the probability of a loss or reasonably estimate the ultimate costs and damages. Consequently, no accrual has been made in the financial statements regarding this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Nanox presents in this press release and in its quarterly conference call being held today certain financial measures that are not prepared in accordance with generally accepted accounting principles in the United States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including non-GAAP gross loss margin, non-GAAP operating expenses, non-GAAP net loss, and adjusted EBITDA loss. These non-GAAP measures are not based on any standardized methodology prescribed by GAAP and are not necessarily comparable to similar measures presented by other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definition of non-GAAP net loss adjusts GAAP net loss to exclude impairment of intangible assets, share-based compensation expenses, amortization of intangible assets, income related to settlement with a shareholder, and changes in earnout liability. The Company’s definition of adjusted EBITDA loss reflects the adjustments described in the preceding sentence to the Company’s GAAP net loss, as further adjusted to exclude depreciation, financial expenses and tax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and board of directors utilize these non-GAAP financial measures to evaluate the Company’s performance. The Company provides these non-GAAP measures of the Company’s performance to investors because management believes that these non-GAAP financial measures, when viewed with the Company’s results under GAAP and the accompanying reconciliations, are useful in identifying underlying trends in ongoing operations. However, these non-GAAP measures are not measures of financial performance under GAAP and, accordingly, should not be considered as alternatives to GAAP measures as indicators of operating performance. Further, these non-GAAP measures should not be considered measures of the Company’s liquidity. A reconciliation of certain GAAP to non-GAAP financial measures has been provided in the tables included in this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Conference Call and Webcast Details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Wednesday, September 9, 2026 @ 8:30am 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Individuals interested in listening to the Company’s second quarter results conference call may do so by joining the live webcast at the “</w:t>
      </w:r>
      <w:r>
        <w:rPr>
          <w:rFonts w:ascii="Times New Roman;Times;Serif" w:hAnsi="Times New Roman;Times;Serif"/>
          <w:b w:val="false"/>
          <w:i/>
          <w:caps w:val="false"/>
          <w:smallCaps w:val="false"/>
          <w:sz w:val="20"/>
        </w:rPr>
        <w:t>Investors</w:t>
      </w:r>
      <w:r>
        <w:rPr>
          <w:rFonts w:ascii="Times New Roman;Times;Serif" w:hAnsi="Times New Roman;Times;Serif"/>
          <w:b w:val="false"/>
          <w:i w:val="false"/>
          <w:caps w:val="false"/>
          <w:smallCaps w:val="false"/>
          <w:sz w:val="20"/>
        </w:rPr>
        <w:t>” section of the Nanox website under “</w:t>
      </w:r>
      <w:r>
        <w:rPr>
          <w:rFonts w:ascii="Times New Roman;Times;Serif" w:hAnsi="Times New Roman;Times;Serif"/>
          <w:b w:val="false"/>
          <w:i/>
          <w:caps w:val="false"/>
          <w:smallCaps w:val="false"/>
          <w:sz w:val="20"/>
        </w:rPr>
        <w:t>Events &amp; Presentations</w:t>
      </w:r>
      <w:r>
        <w:rPr>
          <w:rFonts w:ascii="Times New Roman;Times;Serif" w:hAnsi="Times New Roman;Times;Serif"/>
          <w:b w:val="false"/>
          <w:i w:val="false"/>
          <w:caps w:val="false"/>
          <w:smallCaps w:val="false"/>
          <w:sz w:val="20"/>
        </w:rPr>
        <w:t>”. Alternatively, individuals can register online to receive a dial-in number and personalized PIN to participate in the conference call, via a link under “</w:t>
      </w:r>
      <w:r>
        <w:rPr>
          <w:rFonts w:ascii="Times New Roman;Times;Serif" w:hAnsi="Times New Roman;Times;Serif"/>
          <w:b w:val="false"/>
          <w:i/>
          <w:caps w:val="false"/>
          <w:smallCaps w:val="false"/>
          <w:sz w:val="20"/>
        </w:rPr>
        <w:t>Events and Presentations</w:t>
      </w:r>
      <w:r>
        <w:rPr>
          <w:rFonts w:ascii="Times New Roman;Times;Serif" w:hAnsi="Times New Roman;Times;Serif"/>
          <w:b w:val="false"/>
          <w:i w:val="false"/>
          <w:caps w:val="false"/>
          <w:smallCaps w:val="false"/>
          <w:sz w:val="20"/>
        </w:rPr>
        <w:t>”. An archived webcast of the event will be available for replay following the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Nanox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Nanox (NASDAQ: NNOX) is focused on driving the world’s transition to preventive health care by delivering an integrated, end-to-end medical imaging and healthcare services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Nanox combines affordable imaging hardware, advanced AI-based solutions, cloud-based software, access to remote radiology, health IT solutions, and a marketplace to enable earlier detection, improved clinical efficiency, and broader access to care.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Nanox’s vision is to expand the reach of medical imaging both within and beyond traditional hospital settings by providing a seamless solution from scan to interpretation and beyond. By leveraging proprietary digital X-ray technology, AI-driven analytics, and a clinically driven approach, Nanox aims to enhance the efficiency of routine imaging workflows, support early detection of disease, and improve patient outcomes.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Nanox ecosystem includes Nanox.ARC, a cost-effective, 3D multi-source digital tomosynthesis imaging system designed for ease of use and scalability; Nanox.AI, a suite of AI-based algorithms that augment the interpretation of routine CT imaging to identify early signs often associated with chronic disease; Nanox.CLOUD, a cloud-based platform for secure data management, storage, and advanced imaging analytics; Nanox.MARKETPLACE and USARAD Holdings, which provides access to remote radiology and cardiology experts and comprehensive teleradiology services; and Nanox Health IT combines deep healthcare IT expertise with leading technology partners to deliver RIS, PACS, AI, dictation, and secure infrastructure solutions that streamline workflows and support safer, more efficient care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integrating imaging technology, AI, cloud infrastructure, clinical expertise, a marketplace, and health information technology, Nanox seeks to lower barriers to adoption, improve utilization, and advance preventive care worldwide. For more information, please visit https://www.nanox.vision.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that are subject to risks and uncertainties. All statements that are not historical facts contained in this press release are forward-looking statements. Such statements include, but are not limited to, statements regarding: the Company’s expected commercialization efforts, business strategy and long-term growth opportunities; the expected timing, pace, extent and success of deployments, installations, activations and utilization of Nanox.ARC systems, including under the Nanox Imaging Network; the anticipated benefits, timing and extent of activity under existing and new commercial, distribution and strategic agreements, including contemplated deployments of systems over the coming years; the anticipated cost savings relating to the restructuring of the Company’s South Korea operations; and the initiation, timing, progress and results of the Company’s research and development, manufacturing, and commercialization activities with respect to its X-ray source technology and the Nanox.ARC. In some cases, you can identify forward-looking statements by terminology such as “can,” “might,” “believe,” “may,” “estimate,” “continue,” “anticipate,” “intend,” “should,” “plan,” “should,” “could,” “expect,” “predict,” “potential,” or the negative of these terms or other similar expressions. Forward-looking statements are based on information the Company has when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Factors that could cause actual results to differ materially from those currently anticipated include: risks related to (i) Nanox’s ability to complete development of the Nanox System; (ii) Nanox’s ability to successfully demonstrate the feasibility of its technology for commercial applications; (iii) Nanox’s history of recurring losses and negative cash flows from operating activities, significant future commitments and the uncertainty regarding the adequacy of Nanox’s liquidity to pursue its complete business objectives, and substantial doubt regarding its ability to continue as a going concern; (iv) Nanox’s expectations regarding the necessity of, timing of filing for, and receipt and maintenance of, regulatory clearances or approvals regarding its technology, the Nanox.ARC and Nanox.CLOUD from regulatory agencies worldwide and its ongoing compliance with applicable quality standards and regulatory requirements; (v) Nanox’s ability to realize the anticipated benefits of recent acquisitions, which may be affected by, among other things, competition, brand recognition, the ability of the acquired companies to grow and manage growth profitably and retain their key employees; (vi) Nanox’s ability to enter into and maintain commercially reasonable arrangements with third-party manufacturers and suppliers to manufacture the Nanox.ARC; (vii) the market acceptance of the Nanox System and the proposed pay-per-scan business model; (viii) Nanox’s expectations regarding collaborations with third-parties and their potential benefits; (ix) Nanox’s ability to conduct business globally; (x) changes in global, political, economic, business, competitive, market and regulatory forces; (xi) risks related to the recent wars between Israel and the United States, on the one hand, and Iran and its proxies, on the other hand, and any worsening of the situation in Israel; and (xii) risks related to litigation, including the class action complaint filed against the Company, which may result in significant liability and damage to the Company’s reputation. For a discussion of other risks and uncertainties, and other important factors, any of which could cause Nanox’s actual results to differ from those contained in the Forward-Looking Statements, see “</w:t>
      </w:r>
      <w:r>
        <w:rPr>
          <w:rFonts w:ascii="Times New Roman;Times;Serif" w:hAnsi="Times New Roman;Times;Serif"/>
          <w:b w:val="false"/>
          <w:i/>
          <w:caps w:val="false"/>
          <w:smallCaps w:val="false"/>
          <w:sz w:val="20"/>
        </w:rPr>
        <w:t>Item 3.D Risk Factors</w:t>
      </w:r>
      <w:r>
        <w:rPr>
          <w:rFonts w:ascii="Times New Roman;Times;Serif" w:hAnsi="Times New Roman;Times;Serif"/>
          <w:b w:val="false"/>
          <w:i w:val="false"/>
          <w:caps w:val="false"/>
          <w:smallCaps w:val="false"/>
          <w:sz w:val="20"/>
        </w:rPr>
        <w:t>” in Nanox’s Annual Report on Form 20-F for the year ended December 31, 2025, and subsequent documents or reports of Nanox filed with, or furnished to, the U.S. Securities and Exchange Commission. The reader should not place undue reliance on any forward-looking statements included in this press release. Except as required by law, Nanox undertakes no obligation to update publicly any forward-looking statements after the date of this press release to conform these statements to actual results or to changes in the Company’s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IMAGING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02"/>
        <w:gridCol w:w="60"/>
        <w:gridCol w:w="60"/>
        <w:gridCol w:w="755"/>
        <w:gridCol w:w="80"/>
        <w:gridCol w:w="60"/>
        <w:gridCol w:w="87"/>
        <w:gridCol w:w="1104"/>
        <w:gridCol w:w="97"/>
      </w:tblGrid>
      <w:tr>
        <w:trPr/>
        <w:tc>
          <w:tcPr>
            <w:tcW w:w="790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June 30, </w:t>
              <w:b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1"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December 31, </w:t>
              <w:br/>
              <w:t>2025</w:t>
            </w:r>
          </w:p>
        </w:tc>
        <w:tc>
          <w:tcPr>
            <w:tcW w:w="97" w:type="dxa"/>
            <w:tcBorders/>
            <w:vAlign w:val="center"/>
          </w:tcPr>
          <w:p>
            <w:pPr>
              <w:pStyle w:val="TableContents"/>
              <w:bidi w:val="0"/>
              <w:spacing w:before="0" w:after="283"/>
              <w:jc w:val="left"/>
              <w:rPr/>
            </w:pPr>
            <w:r>
              <w:rPr/>
              <w:t> </w:t>
            </w:r>
          </w:p>
        </w:tc>
      </w:tr>
      <w:tr>
        <w:trPr/>
        <w:tc>
          <w:tcPr>
            <w:tcW w:w="790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6"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U.S. Dollars in thousands</w:t>
            </w:r>
          </w:p>
        </w:tc>
        <w:tc>
          <w:tcPr>
            <w:tcW w:w="97" w:type="dxa"/>
            <w:tcBorders/>
            <w:vAlign w:val="center"/>
          </w:tcPr>
          <w:p>
            <w:pPr>
              <w:pStyle w:val="TableContents"/>
              <w:bidi w:val="0"/>
              <w:spacing w:before="0" w:after="283"/>
              <w:jc w:val="left"/>
              <w:rPr/>
            </w:pPr>
            <w:r>
              <w:rPr/>
              <w:t> </w:t>
            </w:r>
          </w:p>
        </w:tc>
      </w:tr>
      <w:tr>
        <w:trPr/>
        <w:tc>
          <w:tcPr>
            <w:tcW w:w="7902" w:type="dxa"/>
            <w:tcBorders/>
            <w:vAlign w:val="center"/>
          </w:tcPr>
          <w:p>
            <w:pPr>
              <w:pStyle w:val="TableContents"/>
              <w:bidi w:val="0"/>
              <w:spacing w:before="0" w:after="283"/>
              <w:jc w:val="center"/>
              <w:rPr>
                <w:b/>
                <w:sz w:val="20"/>
              </w:rPr>
            </w:pPr>
            <w:r>
              <w:rPr>
                <w:b/>
                <w:sz w:val="20"/>
              </w:rPr>
              <w:t>Assets</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1" w:type="dxa"/>
            <w:gridSpan w:val="2"/>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r>
      <w:tr>
        <w:trPr/>
        <w:tc>
          <w:tcPr>
            <w:tcW w:w="7902" w:type="dxa"/>
            <w:tcBorders/>
            <w:vAlign w:val="center"/>
          </w:tcPr>
          <w:p>
            <w:pPr>
              <w:pStyle w:val="TableContents"/>
              <w:bidi w:val="0"/>
              <w:spacing w:before="0" w:after="283"/>
              <w:jc w:val="left"/>
              <w:rPr>
                <w:b/>
                <w:sz w:val="20"/>
              </w:rPr>
            </w:pPr>
            <w:r>
              <w:rPr>
                <w:b/>
                <w:sz w:val="20"/>
              </w:rPr>
              <w:t>CURRENT ASSETS:</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1" w:type="dxa"/>
            <w:gridSpan w:val="2"/>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r>
      <w:tr>
        <w:trPr/>
        <w:tc>
          <w:tcPr>
            <w:tcW w:w="7902" w:type="dxa"/>
            <w:tcBorders/>
            <w:shd w:fill="CCEEFF" w:val="clear"/>
            <w:vAlign w:val="center"/>
          </w:tcPr>
          <w:p>
            <w:pPr>
              <w:pStyle w:val="TableContents"/>
              <w:bidi w:val="0"/>
              <w:spacing w:before="0" w:after="283"/>
              <w:jc w:val="left"/>
              <w:rPr>
                <w:sz w:val="20"/>
              </w:rPr>
            </w:pPr>
            <w:r>
              <w:rPr>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31,023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sz w:val="20"/>
              </w:rPr>
            </w:pPr>
            <w:r>
              <w:rPr>
                <w:sz w:val="20"/>
              </w:rPr>
              <w:t>49,151</w:t>
            </w:r>
          </w:p>
        </w:tc>
        <w:tc>
          <w:tcPr>
            <w:tcW w:w="97" w:type="dxa"/>
            <w:tcBorders/>
            <w:shd w:fill="CCEEFF" w:val="clear"/>
            <w:vAlign w:val="center"/>
          </w:tcPr>
          <w:p>
            <w:pPr>
              <w:pStyle w:val="TableContents"/>
              <w:bidi w:val="0"/>
              <w:spacing w:before="0" w:after="283"/>
              <w:jc w:val="left"/>
              <w:rPr/>
            </w:pPr>
            <w:r>
              <w:rPr/>
              <w:t> </w:t>
            </w:r>
          </w:p>
        </w:tc>
      </w:tr>
      <w:tr>
        <w:trPr/>
        <w:tc>
          <w:tcPr>
            <w:tcW w:w="7902" w:type="dxa"/>
            <w:tcBorders/>
            <w:shd w:fill="FFFFFF" w:val="clear"/>
            <w:vAlign w:val="center"/>
          </w:tcPr>
          <w:p>
            <w:pPr>
              <w:pStyle w:val="TableContents"/>
              <w:bidi w:val="0"/>
              <w:spacing w:before="0" w:after="283"/>
              <w:jc w:val="left"/>
              <w:rPr>
                <w:sz w:val="20"/>
              </w:rPr>
            </w:pPr>
            <w:r>
              <w:rPr>
                <w:sz w:val="20"/>
              </w:rPr>
              <w:t>Short-term deposits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sz w:val="20"/>
              </w:rPr>
            </w:pPr>
            <w:r>
              <w:rPr>
                <w:sz w:val="20"/>
              </w:rPr>
              <w:t>10,459</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7902" w:type="dxa"/>
            <w:tcBorders/>
            <w:shd w:fill="CCEEFF" w:val="clear"/>
            <w:vAlign w:val="center"/>
          </w:tcPr>
          <w:p>
            <w:pPr>
              <w:pStyle w:val="TableContents"/>
              <w:bidi w:val="0"/>
              <w:spacing w:before="0" w:after="283"/>
              <w:jc w:val="left"/>
              <w:rPr>
                <w:sz w:val="20"/>
              </w:rPr>
            </w:pPr>
            <w:r>
              <w:rPr>
                <w:sz w:val="20"/>
              </w:rPr>
              <w:t>Accounts receivables net of allowance for credit losses of $371 as of June 30, 2026, and $367 December 31, 2025, respectively.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1,887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sz w:val="20"/>
              </w:rPr>
            </w:pPr>
            <w:r>
              <w:rPr>
                <w:sz w:val="20"/>
              </w:rPr>
              <w:t>2,013</w:t>
            </w:r>
          </w:p>
        </w:tc>
        <w:tc>
          <w:tcPr>
            <w:tcW w:w="97" w:type="dxa"/>
            <w:tcBorders/>
            <w:shd w:fill="CCEEFF" w:val="clear"/>
            <w:vAlign w:val="center"/>
          </w:tcPr>
          <w:p>
            <w:pPr>
              <w:pStyle w:val="TableContents"/>
              <w:bidi w:val="0"/>
              <w:spacing w:before="0" w:after="283"/>
              <w:jc w:val="left"/>
              <w:rPr/>
            </w:pPr>
            <w:r>
              <w:rPr/>
              <w:t> </w:t>
            </w:r>
          </w:p>
        </w:tc>
      </w:tr>
      <w:tr>
        <w:trPr/>
        <w:tc>
          <w:tcPr>
            <w:tcW w:w="7902" w:type="dxa"/>
            <w:tcBorders/>
            <w:shd w:fill="FFFFFF" w:val="clear"/>
            <w:vAlign w:val="center"/>
          </w:tcPr>
          <w:p>
            <w:pPr>
              <w:pStyle w:val="TableContents"/>
              <w:bidi w:val="0"/>
              <w:spacing w:before="0" w:after="283"/>
              <w:jc w:val="left"/>
              <w:rPr>
                <w:sz w:val="20"/>
              </w:rPr>
            </w:pPr>
            <w:r>
              <w:rPr>
                <w:sz w:val="20"/>
              </w:rPr>
              <w:t>Inventories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3,418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sz w:val="20"/>
              </w:rPr>
            </w:pPr>
            <w:r>
              <w:rPr>
                <w:sz w:val="20"/>
              </w:rPr>
              <w:t>3,070</w:t>
            </w:r>
          </w:p>
        </w:tc>
        <w:tc>
          <w:tcPr>
            <w:tcW w:w="97" w:type="dxa"/>
            <w:tcBorders/>
            <w:shd w:fill="FFFFFF" w:val="clear"/>
            <w:vAlign w:val="center"/>
          </w:tcPr>
          <w:p>
            <w:pPr>
              <w:pStyle w:val="TableContents"/>
              <w:bidi w:val="0"/>
              <w:spacing w:before="0" w:after="283"/>
              <w:jc w:val="left"/>
              <w:rPr/>
            </w:pPr>
            <w:r>
              <w:rPr/>
              <w:t> </w:t>
            </w:r>
          </w:p>
        </w:tc>
      </w:tr>
      <w:tr>
        <w:trPr/>
        <w:tc>
          <w:tcPr>
            <w:tcW w:w="7902" w:type="dxa"/>
            <w:tcBorders/>
            <w:shd w:fill="CCEEFF" w:val="clear"/>
            <w:vAlign w:val="center"/>
          </w:tcPr>
          <w:p>
            <w:pPr>
              <w:pStyle w:val="TableContents"/>
              <w:bidi w:val="0"/>
              <w:spacing w:before="0" w:after="283"/>
              <w:jc w:val="left"/>
              <w:rPr>
                <w:sz w:val="20"/>
              </w:rPr>
            </w:pPr>
            <w:r>
              <w:rPr>
                <w:sz w:val="20"/>
              </w:rPr>
              <w:t>Prepaid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918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sz w:val="20"/>
              </w:rPr>
            </w:pPr>
            <w:r>
              <w:rPr>
                <w:sz w:val="20"/>
              </w:rPr>
              <w:t>1,255</w:t>
            </w:r>
          </w:p>
        </w:tc>
        <w:tc>
          <w:tcPr>
            <w:tcW w:w="97" w:type="dxa"/>
            <w:tcBorders/>
            <w:shd w:fill="CCEEFF" w:val="clear"/>
            <w:vAlign w:val="center"/>
          </w:tcPr>
          <w:p>
            <w:pPr>
              <w:pStyle w:val="TableContents"/>
              <w:bidi w:val="0"/>
              <w:spacing w:before="0" w:after="283"/>
              <w:jc w:val="left"/>
              <w:rPr/>
            </w:pPr>
            <w:r>
              <w:rPr/>
              <w:t> </w:t>
            </w:r>
          </w:p>
        </w:tc>
      </w:tr>
      <w:tr>
        <w:trPr/>
        <w:tc>
          <w:tcPr>
            <w:tcW w:w="7902" w:type="dxa"/>
            <w:tcBorders/>
            <w:shd w:fill="FFFFFF" w:val="clear"/>
            <w:vAlign w:val="center"/>
          </w:tcPr>
          <w:p>
            <w:pPr>
              <w:pStyle w:val="TableContents"/>
              <w:bidi w:val="0"/>
              <w:spacing w:before="0" w:after="283"/>
              <w:jc w:val="left"/>
              <w:rPr>
                <w:sz w:val="20"/>
              </w:rPr>
            </w:pPr>
            <w:r>
              <w:rPr>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1,740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845</w:t>
            </w:r>
          </w:p>
        </w:tc>
        <w:tc>
          <w:tcPr>
            <w:tcW w:w="97" w:type="dxa"/>
            <w:tcBorders/>
            <w:shd w:fill="FFFFFF" w:val="clear"/>
            <w:vAlign w:val="center"/>
          </w:tcPr>
          <w:p>
            <w:pPr>
              <w:pStyle w:val="TableContents"/>
              <w:bidi w:val="0"/>
              <w:spacing w:before="0" w:after="283"/>
              <w:jc w:val="left"/>
              <w:rPr/>
            </w:pPr>
            <w:r>
              <w:rPr/>
              <w:t> </w:t>
            </w:r>
          </w:p>
        </w:tc>
      </w:tr>
      <w:tr>
        <w:trPr/>
        <w:tc>
          <w:tcPr>
            <w:tcW w:w="7902" w:type="dxa"/>
            <w:tcBorders/>
            <w:shd w:fill="CCEEFF" w:val="clear"/>
            <w:vAlign w:val="center"/>
          </w:tcPr>
          <w:p>
            <w:pPr>
              <w:pStyle w:val="TableContents"/>
              <w:bidi w:val="0"/>
              <w:spacing w:before="0" w:after="283"/>
              <w:jc w:val="left"/>
              <w:rPr>
                <w:b/>
                <w:sz w:val="20"/>
              </w:rPr>
            </w:pPr>
            <w:r>
              <w:rPr>
                <w:b/>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38,986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66,793</w:t>
            </w:r>
          </w:p>
        </w:tc>
        <w:tc>
          <w:tcPr>
            <w:tcW w:w="97" w:type="dxa"/>
            <w:tcBorders/>
            <w:shd w:fill="CCEEFF" w:val="clear"/>
            <w:vAlign w:val="center"/>
          </w:tcPr>
          <w:p>
            <w:pPr>
              <w:pStyle w:val="TableContents"/>
              <w:bidi w:val="0"/>
              <w:spacing w:before="0" w:after="283"/>
              <w:jc w:val="left"/>
              <w:rPr/>
            </w:pPr>
            <w:r>
              <w:rPr/>
              <w:t> </w:t>
            </w:r>
          </w:p>
        </w:tc>
      </w:tr>
      <w:tr>
        <w:trPr/>
        <w:tc>
          <w:tcPr>
            <w:tcW w:w="79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902" w:type="dxa"/>
            <w:tcBorders/>
            <w:shd w:fill="CCEEFF" w:val="clear"/>
            <w:vAlign w:val="center"/>
          </w:tcPr>
          <w:p>
            <w:pPr>
              <w:pStyle w:val="TableContents"/>
              <w:bidi w:val="0"/>
              <w:spacing w:before="0" w:after="283"/>
              <w:jc w:val="left"/>
              <w:rPr>
                <w:b/>
                <w:sz w:val="20"/>
              </w:rPr>
            </w:pPr>
            <w:r>
              <w:rPr>
                <w:b/>
                <w:sz w:val="20"/>
              </w:rPr>
              <w:t>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902" w:type="dxa"/>
            <w:tcBorders/>
            <w:shd w:fill="FFFFFF" w:val="clear"/>
            <w:vAlign w:val="center"/>
          </w:tcPr>
          <w:p>
            <w:pPr>
              <w:pStyle w:val="TableContents"/>
              <w:bidi w:val="0"/>
              <w:spacing w:before="0" w:after="283"/>
              <w:jc w:val="left"/>
              <w:rPr>
                <w:sz w:val="20"/>
              </w:rPr>
            </w:pPr>
            <w:r>
              <w:rPr>
                <w:sz w:val="20"/>
              </w:rPr>
              <w:t>Restricted deposit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394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sz w:val="20"/>
              </w:rPr>
            </w:pPr>
            <w:r>
              <w:rPr>
                <w:sz w:val="20"/>
              </w:rPr>
              <w:t>361</w:t>
            </w:r>
          </w:p>
        </w:tc>
        <w:tc>
          <w:tcPr>
            <w:tcW w:w="97" w:type="dxa"/>
            <w:tcBorders/>
            <w:shd w:fill="FFFFFF" w:val="clear"/>
            <w:vAlign w:val="center"/>
          </w:tcPr>
          <w:p>
            <w:pPr>
              <w:pStyle w:val="TableContents"/>
              <w:bidi w:val="0"/>
              <w:spacing w:before="0" w:after="283"/>
              <w:jc w:val="left"/>
              <w:rPr/>
            </w:pPr>
            <w:r>
              <w:rPr/>
              <w:t> </w:t>
            </w:r>
          </w:p>
        </w:tc>
      </w:tr>
      <w:tr>
        <w:trPr/>
        <w:tc>
          <w:tcPr>
            <w:tcW w:w="7902" w:type="dxa"/>
            <w:tcBorders/>
            <w:shd w:fill="CCEEFF" w:val="clear"/>
            <w:vAlign w:val="center"/>
          </w:tcPr>
          <w:p>
            <w:pPr>
              <w:pStyle w:val="TableContents"/>
              <w:bidi w:val="0"/>
              <w:spacing w:before="0" w:after="283"/>
              <w:jc w:val="left"/>
              <w:rPr>
                <w:sz w:val="20"/>
              </w:rPr>
            </w:pPr>
            <w:r>
              <w:rPr>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31,614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sz w:val="20"/>
              </w:rPr>
            </w:pPr>
            <w:r>
              <w:rPr>
                <w:sz w:val="20"/>
              </w:rPr>
              <w:t>29,677</w:t>
            </w:r>
          </w:p>
        </w:tc>
        <w:tc>
          <w:tcPr>
            <w:tcW w:w="97" w:type="dxa"/>
            <w:tcBorders/>
            <w:shd w:fill="CCEEFF" w:val="clear"/>
            <w:vAlign w:val="center"/>
          </w:tcPr>
          <w:p>
            <w:pPr>
              <w:pStyle w:val="TableContents"/>
              <w:bidi w:val="0"/>
              <w:spacing w:before="0" w:after="283"/>
              <w:jc w:val="left"/>
              <w:rPr/>
            </w:pPr>
            <w:r>
              <w:rPr/>
              <w:t> </w:t>
            </w:r>
          </w:p>
        </w:tc>
      </w:tr>
      <w:tr>
        <w:trPr/>
        <w:tc>
          <w:tcPr>
            <w:tcW w:w="7902" w:type="dxa"/>
            <w:tcBorders/>
            <w:shd w:fill="FFFFFF" w:val="clear"/>
            <w:vAlign w:val="center"/>
          </w:tcPr>
          <w:p>
            <w:pPr>
              <w:pStyle w:val="TableContents"/>
              <w:bidi w:val="0"/>
              <w:spacing w:before="0" w:after="283"/>
              <w:jc w:val="left"/>
              <w:rPr>
                <w:sz w:val="20"/>
              </w:rPr>
            </w:pPr>
            <w:r>
              <w:rPr>
                <w:sz w:val="20"/>
              </w:rPr>
              <w:t>Goodwill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316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sz w:val="20"/>
              </w:rPr>
            </w:pPr>
            <w:r>
              <w:rPr>
                <w:sz w:val="20"/>
              </w:rPr>
              <w:t>316</w:t>
            </w:r>
          </w:p>
        </w:tc>
        <w:tc>
          <w:tcPr>
            <w:tcW w:w="97" w:type="dxa"/>
            <w:tcBorders/>
            <w:shd w:fill="FFFFFF" w:val="clear"/>
            <w:vAlign w:val="center"/>
          </w:tcPr>
          <w:p>
            <w:pPr>
              <w:pStyle w:val="TableContents"/>
              <w:bidi w:val="0"/>
              <w:spacing w:before="0" w:after="283"/>
              <w:jc w:val="left"/>
              <w:rPr/>
            </w:pPr>
            <w:r>
              <w:rPr/>
              <w:t> </w:t>
            </w:r>
          </w:p>
        </w:tc>
      </w:tr>
      <w:tr>
        <w:trPr/>
        <w:tc>
          <w:tcPr>
            <w:tcW w:w="7902" w:type="dxa"/>
            <w:tcBorders/>
            <w:shd w:fill="CCEEFF" w:val="clear"/>
            <w:vAlign w:val="center"/>
          </w:tcPr>
          <w:p>
            <w:pPr>
              <w:pStyle w:val="TableContents"/>
              <w:bidi w:val="0"/>
              <w:spacing w:before="0" w:after="283"/>
              <w:jc w:val="left"/>
              <w:rPr>
                <w:sz w:val="20"/>
              </w:rPr>
            </w:pPr>
            <w:r>
              <w:rPr>
                <w:sz w:val="20"/>
              </w:rPr>
              <w:t>Operating lease right-of-use asset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3,311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sz w:val="20"/>
              </w:rPr>
            </w:pPr>
            <w:r>
              <w:rPr>
                <w:sz w:val="20"/>
              </w:rPr>
              <w:t>3,518</w:t>
            </w:r>
          </w:p>
        </w:tc>
        <w:tc>
          <w:tcPr>
            <w:tcW w:w="97" w:type="dxa"/>
            <w:tcBorders/>
            <w:shd w:fill="CCEEFF" w:val="clear"/>
            <w:vAlign w:val="center"/>
          </w:tcPr>
          <w:p>
            <w:pPr>
              <w:pStyle w:val="TableContents"/>
              <w:bidi w:val="0"/>
              <w:spacing w:before="0" w:after="283"/>
              <w:jc w:val="left"/>
              <w:rPr/>
            </w:pPr>
            <w:r>
              <w:rPr/>
              <w:t> </w:t>
            </w:r>
          </w:p>
        </w:tc>
      </w:tr>
      <w:tr>
        <w:trPr/>
        <w:tc>
          <w:tcPr>
            <w:tcW w:w="7902" w:type="dxa"/>
            <w:tcBorders/>
            <w:shd w:fill="FFFFFF" w:val="clear"/>
            <w:vAlign w:val="center"/>
          </w:tcPr>
          <w:p>
            <w:pPr>
              <w:pStyle w:val="TableContents"/>
              <w:bidi w:val="0"/>
              <w:spacing w:before="0" w:after="283"/>
              <w:jc w:val="left"/>
              <w:rPr>
                <w:sz w:val="20"/>
              </w:rPr>
            </w:pPr>
            <w:r>
              <w:rPr>
                <w:sz w:val="20"/>
              </w:rPr>
              <w:t>Intangible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14,164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sz w:val="20"/>
              </w:rPr>
            </w:pPr>
            <w:r>
              <w:rPr>
                <w:sz w:val="20"/>
              </w:rPr>
              <w:t>59,868</w:t>
            </w:r>
          </w:p>
        </w:tc>
        <w:tc>
          <w:tcPr>
            <w:tcW w:w="97" w:type="dxa"/>
            <w:tcBorders/>
            <w:shd w:fill="FFFFFF" w:val="clear"/>
            <w:vAlign w:val="center"/>
          </w:tcPr>
          <w:p>
            <w:pPr>
              <w:pStyle w:val="TableContents"/>
              <w:bidi w:val="0"/>
              <w:spacing w:before="0" w:after="283"/>
              <w:jc w:val="left"/>
              <w:rPr/>
            </w:pPr>
            <w:r>
              <w:rPr/>
              <w:t> </w:t>
            </w:r>
          </w:p>
        </w:tc>
      </w:tr>
      <w:tr>
        <w:trPr/>
        <w:tc>
          <w:tcPr>
            <w:tcW w:w="7902" w:type="dxa"/>
            <w:tcBorders/>
            <w:shd w:fill="CCEEFF" w:val="clear"/>
            <w:vAlign w:val="center"/>
          </w:tcPr>
          <w:p>
            <w:pPr>
              <w:pStyle w:val="TableContents"/>
              <w:bidi w:val="0"/>
              <w:spacing w:before="0" w:after="283"/>
              <w:jc w:val="left"/>
              <w:rPr>
                <w:sz w:val="20"/>
              </w:rPr>
            </w:pPr>
            <w:r>
              <w:rPr>
                <w:sz w:val="20"/>
              </w:rPr>
              <w:t>Other 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2,400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1,632</w:t>
            </w:r>
          </w:p>
        </w:tc>
        <w:tc>
          <w:tcPr>
            <w:tcW w:w="97" w:type="dxa"/>
            <w:tcBorders/>
            <w:shd w:fill="CCEEFF" w:val="clear"/>
            <w:vAlign w:val="center"/>
          </w:tcPr>
          <w:p>
            <w:pPr>
              <w:pStyle w:val="TableContents"/>
              <w:bidi w:val="0"/>
              <w:spacing w:before="0" w:after="283"/>
              <w:jc w:val="left"/>
              <w:rPr/>
            </w:pPr>
            <w:r>
              <w:rPr/>
              <w:t> </w:t>
            </w:r>
          </w:p>
        </w:tc>
      </w:tr>
      <w:tr>
        <w:trPr/>
        <w:tc>
          <w:tcPr>
            <w:tcW w:w="7902" w:type="dxa"/>
            <w:tcBorders/>
            <w:shd w:fill="FFFFFF" w:val="clear"/>
            <w:vAlign w:val="center"/>
          </w:tcPr>
          <w:p>
            <w:pPr>
              <w:pStyle w:val="TableContents"/>
              <w:bidi w:val="0"/>
              <w:spacing w:before="0" w:after="283"/>
              <w:jc w:val="left"/>
              <w:rPr>
                <w:b/>
                <w:sz w:val="20"/>
              </w:rPr>
            </w:pPr>
            <w:r>
              <w:rPr>
                <w:b/>
                <w:sz w:val="20"/>
              </w:rPr>
              <w:t>TOTAL 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52,199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95,372</w:t>
            </w:r>
          </w:p>
        </w:tc>
        <w:tc>
          <w:tcPr>
            <w:tcW w:w="97" w:type="dxa"/>
            <w:tcBorders/>
            <w:shd w:fill="FFFFFF" w:val="clear"/>
            <w:vAlign w:val="center"/>
          </w:tcPr>
          <w:p>
            <w:pPr>
              <w:pStyle w:val="TableContents"/>
              <w:bidi w:val="0"/>
              <w:spacing w:before="0" w:after="283"/>
              <w:jc w:val="left"/>
              <w:rPr/>
            </w:pPr>
            <w:r>
              <w:rPr/>
              <w:t> </w:t>
            </w:r>
          </w:p>
        </w:tc>
      </w:tr>
      <w:tr>
        <w:trPr/>
        <w:tc>
          <w:tcPr>
            <w:tcW w:w="7902" w:type="dxa"/>
            <w:tcBorders/>
            <w:shd w:fill="CCEEFF" w:val="clear"/>
            <w:vAlign w:val="center"/>
          </w:tcPr>
          <w:p>
            <w:pPr>
              <w:pStyle w:val="TableContents"/>
              <w:bidi w:val="0"/>
              <w:spacing w:before="0" w:after="283"/>
              <w:jc w:val="left"/>
              <w:rPr>
                <w:b/>
                <w:sz w:val="20"/>
              </w:rPr>
            </w:pPr>
            <w:r>
              <w:rPr>
                <w:b/>
                <w:sz w:val="20"/>
              </w:rPr>
              <w:t>TOTAL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91,185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162,165</w:t>
            </w:r>
          </w:p>
        </w:tc>
        <w:tc>
          <w:tcPr>
            <w:tcW w:w="97" w:type="dxa"/>
            <w:tcBorders/>
            <w:shd w:fill="CCEEFF" w:val="clear"/>
            <w:vAlign w:val="center"/>
          </w:tcPr>
          <w:p>
            <w:pPr>
              <w:pStyle w:val="TableContents"/>
              <w:bidi w:val="0"/>
              <w:spacing w:before="0" w:after="283"/>
              <w:jc w:val="left"/>
              <w:rPr/>
            </w:pPr>
            <w:r>
              <w:rPr/>
              <w:t> </w:t>
            </w:r>
          </w:p>
        </w:tc>
      </w:tr>
      <w:tr>
        <w:trPr/>
        <w:tc>
          <w:tcPr>
            <w:tcW w:w="79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902" w:type="dxa"/>
            <w:tcBorders/>
            <w:shd w:fill="CCEEFF" w:val="clear"/>
            <w:vAlign w:val="center"/>
          </w:tcPr>
          <w:p>
            <w:pPr>
              <w:pStyle w:val="TableContents"/>
              <w:bidi w:val="0"/>
              <w:spacing w:before="0" w:after="283"/>
              <w:jc w:val="center"/>
              <w:rPr>
                <w:b/>
                <w:sz w:val="20"/>
              </w:rPr>
            </w:pPr>
            <w:r>
              <w:rPr>
                <w:b/>
                <w:sz w:val="20"/>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902" w:type="dxa"/>
            <w:tcBorders/>
            <w:shd w:fill="FFFFFF" w:val="clear"/>
            <w:vAlign w:val="center"/>
          </w:tcPr>
          <w:p>
            <w:pPr>
              <w:pStyle w:val="TableContents"/>
              <w:bidi w:val="0"/>
              <w:spacing w:before="0" w:after="283"/>
              <w:jc w:val="left"/>
              <w:rPr>
                <w:b/>
                <w:sz w:val="20"/>
              </w:rPr>
            </w:pPr>
            <w:r>
              <w:rPr>
                <w:b/>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902" w:type="dxa"/>
            <w:tcBorders/>
            <w:shd w:fill="CCEEFF" w:val="clear"/>
            <w:vAlign w:val="center"/>
          </w:tcPr>
          <w:p>
            <w:pPr>
              <w:pStyle w:val="TableContents"/>
              <w:bidi w:val="0"/>
              <w:spacing w:before="0" w:after="283"/>
              <w:jc w:val="left"/>
              <w:rPr>
                <w:sz w:val="20"/>
              </w:rPr>
            </w:pPr>
            <w:r>
              <w:rPr>
                <w:sz w:val="20"/>
              </w:rPr>
              <w:t>Short-term loan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2,919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sz w:val="20"/>
              </w:rPr>
            </w:pPr>
            <w:r>
              <w:rPr>
                <w:sz w:val="20"/>
              </w:rPr>
              <w:t>3,136</w:t>
            </w:r>
          </w:p>
        </w:tc>
        <w:tc>
          <w:tcPr>
            <w:tcW w:w="97" w:type="dxa"/>
            <w:tcBorders/>
            <w:shd w:fill="CCEEFF" w:val="clear"/>
            <w:vAlign w:val="center"/>
          </w:tcPr>
          <w:p>
            <w:pPr>
              <w:pStyle w:val="TableContents"/>
              <w:bidi w:val="0"/>
              <w:spacing w:before="0" w:after="283"/>
              <w:jc w:val="left"/>
              <w:rPr/>
            </w:pPr>
            <w:r>
              <w:rPr/>
              <w:t> </w:t>
            </w:r>
          </w:p>
        </w:tc>
      </w:tr>
      <w:tr>
        <w:trPr/>
        <w:tc>
          <w:tcPr>
            <w:tcW w:w="7902" w:type="dxa"/>
            <w:tcBorders/>
            <w:shd w:fill="FFFFFF" w:val="clear"/>
            <w:vAlign w:val="center"/>
          </w:tcPr>
          <w:p>
            <w:pPr>
              <w:pStyle w:val="TableContents"/>
              <w:bidi w:val="0"/>
              <w:spacing w:before="0" w:after="283"/>
              <w:jc w:val="left"/>
              <w:rPr>
                <w:sz w:val="20"/>
              </w:rPr>
            </w:pPr>
            <w:r>
              <w:rPr>
                <w:sz w:val="20"/>
              </w:rPr>
              <w:t>Accounts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2,138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sz w:val="20"/>
              </w:rPr>
            </w:pPr>
            <w:r>
              <w:rPr>
                <w:sz w:val="20"/>
              </w:rPr>
              <w:t>2,886</w:t>
            </w:r>
          </w:p>
        </w:tc>
        <w:tc>
          <w:tcPr>
            <w:tcW w:w="97" w:type="dxa"/>
            <w:tcBorders/>
            <w:shd w:fill="FFFFFF" w:val="clear"/>
            <w:vAlign w:val="center"/>
          </w:tcPr>
          <w:p>
            <w:pPr>
              <w:pStyle w:val="TableContents"/>
              <w:bidi w:val="0"/>
              <w:spacing w:before="0" w:after="283"/>
              <w:jc w:val="left"/>
              <w:rPr/>
            </w:pPr>
            <w:r>
              <w:rPr/>
              <w:t> </w:t>
            </w:r>
          </w:p>
        </w:tc>
      </w:tr>
      <w:tr>
        <w:trPr/>
        <w:tc>
          <w:tcPr>
            <w:tcW w:w="7902" w:type="dxa"/>
            <w:tcBorders/>
            <w:shd w:fill="CCEEFF" w:val="clear"/>
            <w:vAlign w:val="center"/>
          </w:tcPr>
          <w:p>
            <w:pPr>
              <w:pStyle w:val="TableContents"/>
              <w:bidi w:val="0"/>
              <w:spacing w:before="0" w:after="283"/>
              <w:jc w:val="left"/>
              <w:rPr>
                <w:sz w:val="20"/>
              </w:rPr>
            </w:pPr>
            <w:r>
              <w:rPr>
                <w:sz w:val="20"/>
              </w:rPr>
              <w:t>Accrued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2,868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sz w:val="20"/>
              </w:rPr>
            </w:pPr>
            <w:r>
              <w:rPr>
                <w:sz w:val="20"/>
              </w:rPr>
              <w:t>4,224</w:t>
            </w:r>
          </w:p>
        </w:tc>
        <w:tc>
          <w:tcPr>
            <w:tcW w:w="97" w:type="dxa"/>
            <w:tcBorders/>
            <w:shd w:fill="CCEEFF" w:val="clear"/>
            <w:vAlign w:val="center"/>
          </w:tcPr>
          <w:p>
            <w:pPr>
              <w:pStyle w:val="TableContents"/>
              <w:bidi w:val="0"/>
              <w:spacing w:before="0" w:after="283"/>
              <w:jc w:val="left"/>
              <w:rPr/>
            </w:pPr>
            <w:r>
              <w:rPr/>
              <w:t> </w:t>
            </w:r>
          </w:p>
        </w:tc>
      </w:tr>
      <w:tr>
        <w:trPr/>
        <w:tc>
          <w:tcPr>
            <w:tcW w:w="7902" w:type="dxa"/>
            <w:tcBorders/>
            <w:shd w:fill="FFFFFF" w:val="clear"/>
            <w:vAlign w:val="center"/>
          </w:tcPr>
          <w:p>
            <w:pPr>
              <w:pStyle w:val="TableContents"/>
              <w:bidi w:val="0"/>
              <w:spacing w:before="0" w:after="283"/>
              <w:jc w:val="left"/>
              <w:rPr>
                <w:sz w:val="20"/>
              </w:rPr>
            </w:pPr>
            <w:r>
              <w:rPr>
                <w:sz w:val="20"/>
              </w:rPr>
              <w:t>Deferred revenue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601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sz w:val="20"/>
              </w:rPr>
            </w:pPr>
            <w:r>
              <w:rPr>
                <w:sz w:val="20"/>
              </w:rPr>
              <w:t>534</w:t>
            </w:r>
          </w:p>
        </w:tc>
        <w:tc>
          <w:tcPr>
            <w:tcW w:w="97" w:type="dxa"/>
            <w:tcBorders/>
            <w:shd w:fill="FFFFFF" w:val="clear"/>
            <w:vAlign w:val="center"/>
          </w:tcPr>
          <w:p>
            <w:pPr>
              <w:pStyle w:val="TableContents"/>
              <w:bidi w:val="0"/>
              <w:spacing w:before="0" w:after="283"/>
              <w:jc w:val="left"/>
              <w:rPr/>
            </w:pPr>
            <w:r>
              <w:rPr/>
              <w:t> </w:t>
            </w:r>
          </w:p>
        </w:tc>
      </w:tr>
      <w:tr>
        <w:trPr/>
        <w:tc>
          <w:tcPr>
            <w:tcW w:w="7902" w:type="dxa"/>
            <w:tcBorders/>
            <w:shd w:fill="CCEEFF" w:val="clear"/>
            <w:vAlign w:val="center"/>
          </w:tcPr>
          <w:p>
            <w:pPr>
              <w:pStyle w:val="TableContents"/>
              <w:bidi w:val="0"/>
              <w:spacing w:before="0" w:after="283"/>
              <w:jc w:val="left"/>
              <w:rPr>
                <w:sz w:val="20"/>
              </w:rPr>
            </w:pPr>
            <w:r>
              <w:rPr>
                <w:sz w:val="20"/>
              </w:rPr>
              <w:t>Contingent short-term earnout liability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293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sz w:val="20"/>
              </w:rPr>
            </w:pPr>
            <w:r>
              <w:rPr>
                <w:sz w:val="20"/>
              </w:rPr>
              <w:t>304</w:t>
            </w:r>
          </w:p>
        </w:tc>
        <w:tc>
          <w:tcPr>
            <w:tcW w:w="97" w:type="dxa"/>
            <w:tcBorders/>
            <w:shd w:fill="CCEEFF" w:val="clear"/>
            <w:vAlign w:val="center"/>
          </w:tcPr>
          <w:p>
            <w:pPr>
              <w:pStyle w:val="TableContents"/>
              <w:bidi w:val="0"/>
              <w:spacing w:before="0" w:after="283"/>
              <w:jc w:val="left"/>
              <w:rPr/>
            </w:pPr>
            <w:r>
              <w:rPr/>
              <w:t> </w:t>
            </w:r>
          </w:p>
        </w:tc>
      </w:tr>
      <w:tr>
        <w:trPr/>
        <w:tc>
          <w:tcPr>
            <w:tcW w:w="7902" w:type="dxa"/>
            <w:tcBorders/>
            <w:shd w:fill="FFFFFF" w:val="clear"/>
            <w:vAlign w:val="center"/>
          </w:tcPr>
          <w:p>
            <w:pPr>
              <w:pStyle w:val="TableContents"/>
              <w:bidi w:val="0"/>
              <w:spacing w:before="0" w:after="283"/>
              <w:jc w:val="left"/>
              <w:rPr>
                <w:sz w:val="20"/>
              </w:rPr>
            </w:pPr>
            <w:r>
              <w:rPr>
                <w:sz w:val="20"/>
              </w:rPr>
              <w:t>Current maturities of operating 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979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sz w:val="20"/>
              </w:rPr>
            </w:pPr>
            <w:r>
              <w:rPr>
                <w:sz w:val="20"/>
              </w:rPr>
              <w:t>950</w:t>
            </w:r>
          </w:p>
        </w:tc>
        <w:tc>
          <w:tcPr>
            <w:tcW w:w="97" w:type="dxa"/>
            <w:tcBorders/>
            <w:shd w:fill="FFFFFF" w:val="clear"/>
            <w:vAlign w:val="center"/>
          </w:tcPr>
          <w:p>
            <w:pPr>
              <w:pStyle w:val="TableContents"/>
              <w:bidi w:val="0"/>
              <w:spacing w:before="0" w:after="283"/>
              <w:jc w:val="left"/>
              <w:rPr/>
            </w:pPr>
            <w:r>
              <w:rPr/>
              <w:t> </w:t>
            </w:r>
          </w:p>
        </w:tc>
      </w:tr>
      <w:tr>
        <w:trPr/>
        <w:tc>
          <w:tcPr>
            <w:tcW w:w="7902" w:type="dxa"/>
            <w:tcBorders/>
            <w:shd w:fill="CCEEFF" w:val="clear"/>
            <w:vAlign w:val="center"/>
          </w:tcPr>
          <w:p>
            <w:pPr>
              <w:pStyle w:val="TableContents"/>
              <w:bidi w:val="0"/>
              <w:spacing w:before="0" w:after="283"/>
              <w:jc w:val="left"/>
              <w:rPr>
                <w:sz w:val="20"/>
              </w:rPr>
            </w:pPr>
            <w:r>
              <w:rPr>
                <w:sz w:val="20"/>
              </w:rPr>
              <w:t>Other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3,916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4,854</w:t>
            </w:r>
          </w:p>
        </w:tc>
        <w:tc>
          <w:tcPr>
            <w:tcW w:w="97" w:type="dxa"/>
            <w:tcBorders/>
            <w:shd w:fill="CCEEFF" w:val="clear"/>
            <w:vAlign w:val="center"/>
          </w:tcPr>
          <w:p>
            <w:pPr>
              <w:pStyle w:val="TableContents"/>
              <w:bidi w:val="0"/>
              <w:spacing w:before="0" w:after="283"/>
              <w:jc w:val="left"/>
              <w:rPr/>
            </w:pPr>
            <w:r>
              <w:rPr/>
              <w:t> </w:t>
            </w:r>
          </w:p>
        </w:tc>
      </w:tr>
      <w:tr>
        <w:trPr/>
        <w:tc>
          <w:tcPr>
            <w:tcW w:w="7902" w:type="dxa"/>
            <w:tcBorders/>
            <w:shd w:fill="FFFFFF" w:val="clear"/>
            <w:vAlign w:val="center"/>
          </w:tcPr>
          <w:p>
            <w:pPr>
              <w:pStyle w:val="TableContents"/>
              <w:bidi w:val="0"/>
              <w:spacing w:before="0" w:after="283"/>
              <w:jc w:val="left"/>
              <w:rPr>
                <w:b/>
                <w:sz w:val="20"/>
              </w:rPr>
            </w:pPr>
            <w:r>
              <w:rPr>
                <w:b/>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13,714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16,888</w:t>
            </w:r>
          </w:p>
        </w:tc>
        <w:tc>
          <w:tcPr>
            <w:tcW w:w="97" w:type="dxa"/>
            <w:tcBorders/>
            <w:shd w:fill="FFFFFF" w:val="clear"/>
            <w:vAlign w:val="center"/>
          </w:tcPr>
          <w:p>
            <w:pPr>
              <w:pStyle w:val="TableContents"/>
              <w:bidi w:val="0"/>
              <w:spacing w:before="0" w:after="283"/>
              <w:jc w:val="left"/>
              <w:rPr/>
            </w:pPr>
            <w:r>
              <w:rPr/>
              <w:t> </w:t>
            </w:r>
          </w:p>
        </w:tc>
      </w:tr>
      <w:tr>
        <w:trPr/>
        <w:tc>
          <w:tcPr>
            <w:tcW w:w="79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902" w:type="dxa"/>
            <w:tcBorders/>
            <w:shd w:fill="FFFFFF" w:val="clear"/>
            <w:vAlign w:val="center"/>
          </w:tcPr>
          <w:p>
            <w:pPr>
              <w:pStyle w:val="TableContents"/>
              <w:bidi w:val="0"/>
              <w:spacing w:before="0" w:after="283"/>
              <w:jc w:val="left"/>
              <w:rPr>
                <w:b/>
                <w:sz w:val="20"/>
              </w:rPr>
            </w:pPr>
            <w:r>
              <w:rPr>
                <w:b/>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902" w:type="dxa"/>
            <w:tcBorders/>
            <w:shd w:fill="CCEEFF" w:val="clear"/>
            <w:vAlign w:val="center"/>
          </w:tcPr>
          <w:p>
            <w:pPr>
              <w:pStyle w:val="TableContents"/>
              <w:bidi w:val="0"/>
              <w:spacing w:before="0" w:after="283"/>
              <w:jc w:val="left"/>
              <w:rPr>
                <w:sz w:val="20"/>
              </w:rPr>
            </w:pPr>
            <w:r>
              <w:rPr>
                <w:sz w:val="20"/>
              </w:rPr>
              <w:t>Non-current operating 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3,829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sz w:val="20"/>
              </w:rPr>
            </w:pPr>
            <w:r>
              <w:rPr>
                <w:sz w:val="20"/>
              </w:rPr>
              <w:t>3,765</w:t>
            </w:r>
          </w:p>
        </w:tc>
        <w:tc>
          <w:tcPr>
            <w:tcW w:w="97" w:type="dxa"/>
            <w:tcBorders/>
            <w:shd w:fill="CCEEFF" w:val="clear"/>
            <w:vAlign w:val="center"/>
          </w:tcPr>
          <w:p>
            <w:pPr>
              <w:pStyle w:val="TableContents"/>
              <w:bidi w:val="0"/>
              <w:spacing w:before="0" w:after="283"/>
              <w:jc w:val="left"/>
              <w:rPr/>
            </w:pPr>
            <w:r>
              <w:rPr/>
              <w:t> </w:t>
            </w:r>
          </w:p>
        </w:tc>
      </w:tr>
      <w:tr>
        <w:trPr/>
        <w:tc>
          <w:tcPr>
            <w:tcW w:w="7902" w:type="dxa"/>
            <w:tcBorders/>
            <w:shd w:fill="FFFFFF" w:val="clear"/>
            <w:vAlign w:val="center"/>
          </w:tcPr>
          <w:p>
            <w:pPr>
              <w:pStyle w:val="TableContents"/>
              <w:bidi w:val="0"/>
              <w:spacing w:before="0" w:after="283"/>
              <w:jc w:val="left"/>
              <w:rPr>
                <w:sz w:val="20"/>
              </w:rPr>
            </w:pPr>
            <w:r>
              <w:rPr>
                <w:sz w:val="20"/>
              </w:rPr>
              <w:t>Non-current deferred revenue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sz w:val="20"/>
              </w:rPr>
            </w:pPr>
            <w:r>
              <w:rPr>
                <w:sz w:val="20"/>
              </w:rPr>
              <w:t>17</w:t>
            </w:r>
          </w:p>
        </w:tc>
        <w:tc>
          <w:tcPr>
            <w:tcW w:w="97" w:type="dxa"/>
            <w:tcBorders/>
            <w:shd w:fill="FFFFFF" w:val="clear"/>
            <w:vAlign w:val="center"/>
          </w:tcPr>
          <w:p>
            <w:pPr>
              <w:pStyle w:val="TableContents"/>
              <w:bidi w:val="0"/>
              <w:spacing w:before="0" w:after="283"/>
              <w:jc w:val="left"/>
              <w:rPr/>
            </w:pPr>
            <w:r>
              <w:rPr/>
              <w:t> </w:t>
            </w:r>
          </w:p>
        </w:tc>
      </w:tr>
      <w:tr>
        <w:trPr/>
        <w:tc>
          <w:tcPr>
            <w:tcW w:w="7902" w:type="dxa"/>
            <w:tcBorders/>
            <w:shd w:fill="CCEEFF" w:val="clear"/>
            <w:vAlign w:val="center"/>
          </w:tcPr>
          <w:p>
            <w:pPr>
              <w:pStyle w:val="TableContents"/>
              <w:bidi w:val="0"/>
              <w:spacing w:before="0" w:after="283"/>
              <w:jc w:val="left"/>
              <w:rPr>
                <w:sz w:val="20"/>
              </w:rPr>
            </w:pPr>
            <w:r>
              <w:rPr>
                <w:sz w:val="20"/>
              </w:rPr>
              <w:t>Contingent long-term earnout liability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sz w:val="20"/>
              </w:rPr>
            </w:pPr>
            <w:r>
              <w:rPr>
                <w:sz w:val="20"/>
              </w:rPr>
              <w:t>173</w:t>
            </w:r>
          </w:p>
        </w:tc>
        <w:tc>
          <w:tcPr>
            <w:tcW w:w="97" w:type="dxa"/>
            <w:tcBorders/>
            <w:shd w:fill="CCEEFF" w:val="clear"/>
            <w:vAlign w:val="center"/>
          </w:tcPr>
          <w:p>
            <w:pPr>
              <w:pStyle w:val="TableContents"/>
              <w:bidi w:val="0"/>
              <w:spacing w:before="0" w:after="283"/>
              <w:jc w:val="left"/>
              <w:rPr/>
            </w:pPr>
            <w:r>
              <w:rPr/>
              <w:t> </w:t>
            </w:r>
          </w:p>
        </w:tc>
      </w:tr>
      <w:tr>
        <w:trPr/>
        <w:tc>
          <w:tcPr>
            <w:tcW w:w="7902" w:type="dxa"/>
            <w:tcBorders/>
            <w:shd w:fill="FFFFFF" w:val="clear"/>
            <w:vAlign w:val="center"/>
          </w:tcPr>
          <w:p>
            <w:pPr>
              <w:pStyle w:val="TableContents"/>
              <w:bidi w:val="0"/>
              <w:spacing w:before="0" w:after="283"/>
              <w:jc w:val="left"/>
              <w:rPr>
                <w:sz w:val="20"/>
              </w:rPr>
            </w:pPr>
            <w:r>
              <w:rPr>
                <w:sz w:val="20"/>
              </w:rPr>
              <w:t>Deferred tax liability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411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sz w:val="20"/>
              </w:rPr>
            </w:pPr>
            <w:r>
              <w:rPr>
                <w:sz w:val="20"/>
              </w:rPr>
              <w:t>600</w:t>
            </w:r>
          </w:p>
        </w:tc>
        <w:tc>
          <w:tcPr>
            <w:tcW w:w="97" w:type="dxa"/>
            <w:tcBorders/>
            <w:shd w:fill="FFFFFF" w:val="clear"/>
            <w:vAlign w:val="center"/>
          </w:tcPr>
          <w:p>
            <w:pPr>
              <w:pStyle w:val="TableContents"/>
              <w:bidi w:val="0"/>
              <w:spacing w:before="0" w:after="283"/>
              <w:jc w:val="left"/>
              <w:rPr/>
            </w:pPr>
            <w:r>
              <w:rPr/>
              <w:t> </w:t>
            </w:r>
          </w:p>
        </w:tc>
      </w:tr>
      <w:tr>
        <w:trPr/>
        <w:tc>
          <w:tcPr>
            <w:tcW w:w="7902" w:type="dxa"/>
            <w:tcBorders/>
            <w:shd w:fill="CCEEFF" w:val="clear"/>
            <w:vAlign w:val="center"/>
          </w:tcPr>
          <w:p>
            <w:pPr>
              <w:pStyle w:val="TableContents"/>
              <w:bidi w:val="0"/>
              <w:spacing w:before="0" w:after="283"/>
              <w:jc w:val="left"/>
              <w:rPr>
                <w:sz w:val="20"/>
              </w:rPr>
            </w:pPr>
            <w:r>
              <w:rPr>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673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990</w:t>
            </w:r>
          </w:p>
        </w:tc>
        <w:tc>
          <w:tcPr>
            <w:tcW w:w="97" w:type="dxa"/>
            <w:tcBorders/>
            <w:shd w:fill="CCEEFF" w:val="clear"/>
            <w:vAlign w:val="center"/>
          </w:tcPr>
          <w:p>
            <w:pPr>
              <w:pStyle w:val="TableContents"/>
              <w:bidi w:val="0"/>
              <w:spacing w:before="0" w:after="283"/>
              <w:jc w:val="left"/>
              <w:rPr/>
            </w:pPr>
            <w:r>
              <w:rPr/>
              <w:t> </w:t>
            </w:r>
          </w:p>
        </w:tc>
      </w:tr>
      <w:tr>
        <w:trPr/>
        <w:tc>
          <w:tcPr>
            <w:tcW w:w="7902" w:type="dxa"/>
            <w:tcBorders/>
            <w:shd w:fill="FFFFFF" w:val="clear"/>
            <w:vAlign w:val="center"/>
          </w:tcPr>
          <w:p>
            <w:pPr>
              <w:pStyle w:val="TableContents"/>
              <w:bidi w:val="0"/>
              <w:spacing w:before="0" w:after="283"/>
              <w:jc w:val="left"/>
              <w:rPr>
                <w:b/>
                <w:sz w:val="20"/>
              </w:rPr>
            </w:pPr>
            <w:r>
              <w:rPr>
                <w:b/>
                <w:sz w:val="20"/>
              </w:rPr>
              <w:t>TOTAL 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5,003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5,545</w:t>
            </w:r>
          </w:p>
        </w:tc>
        <w:tc>
          <w:tcPr>
            <w:tcW w:w="97" w:type="dxa"/>
            <w:tcBorders/>
            <w:shd w:fill="FFFFFF" w:val="clear"/>
            <w:vAlign w:val="center"/>
          </w:tcPr>
          <w:p>
            <w:pPr>
              <w:pStyle w:val="TableContents"/>
              <w:bidi w:val="0"/>
              <w:spacing w:before="0" w:after="283"/>
              <w:jc w:val="left"/>
              <w:rPr/>
            </w:pPr>
            <w:r>
              <w:rPr/>
              <w:t> </w:t>
            </w:r>
          </w:p>
        </w:tc>
      </w:tr>
      <w:tr>
        <w:trPr/>
        <w:tc>
          <w:tcPr>
            <w:tcW w:w="7902" w:type="dxa"/>
            <w:tcBorders/>
            <w:shd w:fill="CCEEFF" w:val="clear"/>
            <w:vAlign w:val="center"/>
          </w:tcPr>
          <w:p>
            <w:pPr>
              <w:pStyle w:val="TableContents"/>
              <w:bidi w:val="0"/>
              <w:spacing w:before="0" w:after="283"/>
              <w:jc w:val="left"/>
              <w:rPr>
                <w:b/>
                <w:sz w:val="20"/>
              </w:rPr>
            </w:pPr>
            <w:r>
              <w:rPr>
                <w:b/>
                <w:sz w:val="20"/>
              </w:rPr>
              <w:t>TOTAL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18,717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22,433</w:t>
            </w:r>
          </w:p>
        </w:tc>
        <w:tc>
          <w:tcPr>
            <w:tcW w:w="97" w:type="dxa"/>
            <w:tcBorders/>
            <w:shd w:fill="CCEEFF" w:val="clear"/>
            <w:vAlign w:val="center"/>
          </w:tcPr>
          <w:p>
            <w:pPr>
              <w:pStyle w:val="TableContents"/>
              <w:bidi w:val="0"/>
              <w:spacing w:before="0" w:after="283"/>
              <w:jc w:val="left"/>
              <w:rPr/>
            </w:pPr>
            <w:r>
              <w:rPr/>
              <w:t> </w:t>
            </w:r>
          </w:p>
        </w:tc>
      </w:tr>
      <w:tr>
        <w:trPr/>
        <w:tc>
          <w:tcPr>
            <w:tcW w:w="79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902" w:type="dxa"/>
            <w:tcBorders/>
            <w:shd w:fill="CCEEFF" w:val="clear"/>
            <w:vAlign w:val="center"/>
          </w:tcPr>
          <w:p>
            <w:pPr>
              <w:pStyle w:val="TableContents"/>
              <w:bidi w:val="0"/>
              <w:spacing w:before="0" w:after="283"/>
              <w:jc w:val="left"/>
              <w:rPr>
                <w:b/>
                <w:sz w:val="20"/>
              </w:rPr>
            </w:pPr>
            <w:r>
              <w:rPr>
                <w:b/>
                <w:sz w:val="20"/>
              </w:rPr>
              <w:t>COMMITMENTS AND CONTINGENCIES (Note 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9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902" w:type="dxa"/>
            <w:tcBorders/>
            <w:shd w:fill="CCEEFF" w:val="clear"/>
            <w:vAlign w:val="center"/>
          </w:tcPr>
          <w:p>
            <w:pPr>
              <w:pStyle w:val="TableContents"/>
              <w:bidi w:val="0"/>
              <w:spacing w:before="0" w:after="283"/>
              <w:jc w:val="left"/>
              <w:rPr>
                <w:b/>
                <w:sz w:val="20"/>
              </w:rPr>
            </w:pPr>
            <w:r>
              <w:rPr>
                <w:b/>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7902" w:type="dxa"/>
            <w:tcBorders/>
            <w:shd w:fill="FFFFFF" w:val="clear"/>
            <w:vAlign w:val="center"/>
          </w:tcPr>
          <w:p>
            <w:pPr>
              <w:pStyle w:val="TableContents"/>
              <w:bidi w:val="0"/>
              <w:spacing w:before="0" w:after="283"/>
              <w:jc w:val="left"/>
              <w:rPr>
                <w:sz w:val="20"/>
              </w:rPr>
            </w:pPr>
            <w:r>
              <w:rPr>
                <w:sz w:val="20"/>
              </w:rPr>
              <w:t>Ordinary Shares, par value NIS 0.01 per share 100,000,000 authorized at June 30, 2026 and December 31, 2025, 70,061,338 and 69,590,228 issued and outstanding at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199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sz w:val="20"/>
              </w:rPr>
            </w:pPr>
            <w:r>
              <w:rPr>
                <w:sz w:val="20"/>
              </w:rPr>
              <w:t>198</w:t>
            </w:r>
          </w:p>
        </w:tc>
        <w:tc>
          <w:tcPr>
            <w:tcW w:w="97" w:type="dxa"/>
            <w:tcBorders/>
            <w:shd w:fill="FFFFFF" w:val="clear"/>
            <w:vAlign w:val="center"/>
          </w:tcPr>
          <w:p>
            <w:pPr>
              <w:pStyle w:val="TableContents"/>
              <w:bidi w:val="0"/>
              <w:spacing w:before="0" w:after="283"/>
              <w:jc w:val="left"/>
              <w:rPr/>
            </w:pPr>
            <w:r>
              <w:rPr/>
              <w:t> </w:t>
            </w:r>
          </w:p>
        </w:tc>
      </w:tr>
      <w:tr>
        <w:trPr/>
        <w:tc>
          <w:tcPr>
            <w:tcW w:w="7902" w:type="dxa"/>
            <w:tcBorders/>
            <w:shd w:fill="CCEEFF" w:val="clear"/>
            <w:vAlign w:val="center"/>
          </w:tcPr>
          <w:p>
            <w:pPr>
              <w:pStyle w:val="TableContents"/>
              <w:bidi w:val="0"/>
              <w:spacing w:before="0" w:after="283"/>
              <w:jc w:val="left"/>
              <w:rPr>
                <w:sz w:val="20"/>
              </w:rPr>
            </w:pPr>
            <w:r>
              <w:rPr>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590,788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sz w:val="20"/>
              </w:rPr>
            </w:pPr>
            <w:r>
              <w:rPr>
                <w:sz w:val="20"/>
              </w:rPr>
              <w:t>588,301</w:t>
            </w:r>
          </w:p>
        </w:tc>
        <w:tc>
          <w:tcPr>
            <w:tcW w:w="97" w:type="dxa"/>
            <w:tcBorders/>
            <w:shd w:fill="CCEEFF" w:val="clear"/>
            <w:vAlign w:val="center"/>
          </w:tcPr>
          <w:p>
            <w:pPr>
              <w:pStyle w:val="TableContents"/>
              <w:bidi w:val="0"/>
              <w:spacing w:before="0" w:after="283"/>
              <w:jc w:val="left"/>
              <w:rPr/>
            </w:pPr>
            <w:r>
              <w:rPr/>
              <w:t> </w:t>
            </w:r>
          </w:p>
        </w:tc>
      </w:tr>
      <w:tr>
        <w:trPr/>
        <w:tc>
          <w:tcPr>
            <w:tcW w:w="7902" w:type="dxa"/>
            <w:tcBorders/>
            <w:shd w:fill="FFFFFF" w:val="clear"/>
            <w:vAlign w:val="center"/>
          </w:tcPr>
          <w:p>
            <w:pPr>
              <w:pStyle w:val="TableContents"/>
              <w:bidi w:val="0"/>
              <w:spacing w:before="0" w:after="283"/>
              <w:jc w:val="left"/>
              <w:rPr>
                <w:sz w:val="20"/>
              </w:rPr>
            </w:pPr>
            <w:r>
              <w:rPr>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(518,519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(448,767</w:t>
            </w:r>
          </w:p>
        </w:tc>
        <w:tc>
          <w:tcPr>
            <w:tcW w:w="97" w:type="dxa"/>
            <w:tcBorders/>
            <w:shd w:fill="FFFFFF" w:val="clear"/>
            <w:vAlign w:val="center"/>
          </w:tcPr>
          <w:p>
            <w:pPr>
              <w:pStyle w:val="TableContents"/>
              <w:bidi w:val="0"/>
              <w:spacing w:before="0" w:after="283"/>
              <w:jc w:val="left"/>
              <w:rPr>
                <w:sz w:val="20"/>
              </w:rPr>
            </w:pPr>
            <w:r>
              <w:rPr>
                <w:sz w:val="20"/>
              </w:rPr>
              <w:t>)</w:t>
            </w:r>
          </w:p>
        </w:tc>
      </w:tr>
      <w:tr>
        <w:trPr/>
        <w:tc>
          <w:tcPr>
            <w:tcW w:w="7902" w:type="dxa"/>
            <w:tcBorders/>
            <w:shd w:fill="CCEEFF" w:val="clear"/>
            <w:vAlign w:val="center"/>
          </w:tcPr>
          <w:p>
            <w:pPr>
              <w:pStyle w:val="TableContents"/>
              <w:bidi w:val="0"/>
              <w:spacing w:before="0" w:after="283"/>
              <w:jc w:val="left"/>
              <w:rPr>
                <w:b/>
                <w:sz w:val="20"/>
              </w:rPr>
            </w:pPr>
            <w:r>
              <w:rPr>
                <w:b/>
                <w:sz w:val="20"/>
              </w:rPr>
              <w:t>TOTAL 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72,468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139,732</w:t>
            </w:r>
          </w:p>
        </w:tc>
        <w:tc>
          <w:tcPr>
            <w:tcW w:w="97" w:type="dxa"/>
            <w:tcBorders/>
            <w:shd w:fill="CCEEFF" w:val="clear"/>
            <w:vAlign w:val="center"/>
          </w:tcPr>
          <w:p>
            <w:pPr>
              <w:pStyle w:val="TableContents"/>
              <w:bidi w:val="0"/>
              <w:spacing w:before="0" w:after="283"/>
              <w:jc w:val="left"/>
              <w:rPr/>
            </w:pPr>
            <w:r>
              <w:rPr/>
              <w:t> </w:t>
            </w:r>
          </w:p>
        </w:tc>
      </w:tr>
      <w:tr>
        <w:trPr/>
        <w:tc>
          <w:tcPr>
            <w:tcW w:w="7902" w:type="dxa"/>
            <w:tcBorders/>
            <w:shd w:fill="FFFFFF" w:val="clear"/>
            <w:vAlign w:val="center"/>
          </w:tcPr>
          <w:p>
            <w:pPr>
              <w:pStyle w:val="TableContents"/>
              <w:bidi w:val="0"/>
              <w:spacing w:before="0" w:after="283"/>
              <w:jc w:val="left"/>
              <w:rPr>
                <w:b/>
                <w:sz w:val="20"/>
              </w:rPr>
            </w:pPr>
            <w:r>
              <w:rPr>
                <w:b/>
                <w:sz w:val="20"/>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sz w:val="20"/>
              </w:rPr>
            </w:pPr>
            <w:r>
              <w:rPr>
                <w:sz w:val="20"/>
              </w:rPr>
              <w:t>91,185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double" w:sz="10" w:space="0" w:color="000000"/>
            </w:tcBorders>
            <w:shd w:fill="FFFFFF" w:val="clear"/>
            <w:tcMar>
              <w:bottom w:w="28" w:type="dxa"/>
            </w:tcMar>
            <w:vAlign w:val="center"/>
          </w:tcPr>
          <w:p>
            <w:pPr>
              <w:pStyle w:val="TableContents"/>
              <w:bidi w:val="0"/>
              <w:spacing w:before="0" w:after="283"/>
              <w:jc w:val="right"/>
              <w:rPr>
                <w:sz w:val="20"/>
              </w:rPr>
            </w:pPr>
            <w:r>
              <w:rPr>
                <w:sz w:val="20"/>
              </w:rPr>
              <w:t>162,165</w:t>
            </w:r>
          </w:p>
        </w:tc>
        <w:tc>
          <w:tcPr>
            <w:tcW w:w="9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IMAGING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 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LOSS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60"/>
        <w:gridCol w:w="60"/>
        <w:gridCol w:w="60"/>
        <w:gridCol w:w="650"/>
        <w:gridCol w:w="80"/>
        <w:gridCol w:w="60"/>
        <w:gridCol w:w="60"/>
        <w:gridCol w:w="650"/>
        <w:gridCol w:w="80"/>
        <w:gridCol w:w="60"/>
        <w:gridCol w:w="68"/>
        <w:gridCol w:w="745"/>
        <w:gridCol w:w="91"/>
        <w:gridCol w:w="68"/>
        <w:gridCol w:w="68"/>
        <w:gridCol w:w="750"/>
        <w:gridCol w:w="95"/>
      </w:tblGrid>
      <w:tr>
        <w:trPr/>
        <w:tc>
          <w:tcPr>
            <w:tcW w:w="65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br/>
              <w:t>June 30,</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79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June 30,</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1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1" w:type="dxa"/>
            <w:tcBorders/>
            <w:vAlign w:val="center"/>
          </w:tcPr>
          <w:p>
            <w:pPr>
              <w:pStyle w:val="TableContents"/>
              <w:bidi w:val="0"/>
              <w:spacing w:before="0" w:after="283"/>
              <w:jc w:val="center"/>
              <w:rPr>
                <w:caps w:val="false"/>
                <w:smallCaps w:val="false"/>
              </w:rPr>
            </w:pPr>
            <w:r>
              <w:rPr>
                <w:caps w:val="false"/>
                <w:smallCaps w:val="false"/>
              </w:rPr>
              <w:t> </w:t>
            </w:r>
          </w:p>
        </w:tc>
        <w:tc>
          <w:tcPr>
            <w:tcW w:w="68" w:type="dxa"/>
            <w:tcBorders/>
            <w:vAlign w:val="center"/>
          </w:tcPr>
          <w:p>
            <w:pPr>
              <w:pStyle w:val="TableContents"/>
              <w:bidi w:val="0"/>
              <w:spacing w:before="0" w:after="283"/>
              <w:jc w:val="center"/>
              <w:rPr>
                <w:caps w:val="false"/>
                <w:smallCaps w:val="false"/>
              </w:rPr>
            </w:pPr>
            <w:r>
              <w:rPr>
                <w:caps w:val="false"/>
                <w:smallCaps w:val="false"/>
              </w:rPr>
              <w:t> </w:t>
            </w:r>
          </w:p>
        </w:tc>
        <w:tc>
          <w:tcPr>
            <w:tcW w:w="81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4,156</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7,135</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6,280</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6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 IMPAIRMENT OF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12" w:space="0" w:color="000000"/>
            </w:tcBorders>
            <w:shd w:fill="FFFFFF" w:val="clear"/>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7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40,695</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12" w:space="0" w:color="000000"/>
            </w:tcBorders>
            <w:shd w:fill="FFFFFF" w:val="clear"/>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7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(6,289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12" w:space="0" w:color="000000"/>
            </w:tcBorders>
            <w:shd w:fill="FFFFFF" w:val="clear"/>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7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(43,674</w:t>
            </w:r>
          </w:p>
        </w:tc>
        <w:tc>
          <w:tcPr>
            <w:tcW w:w="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12" w:space="0" w:color="000000"/>
            </w:tcBorders>
            <w:shd w:fill="FFFFFF" w:val="clear"/>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7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4,707</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4,834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1,900</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5,444</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contingent earnout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12" w:space="0" w:color="000000"/>
            </w:tcBorders>
            <w:shd w:fill="CCEEFF" w:val="clear"/>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7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w:t>
            </w:r>
          </w:p>
        </w:tc>
        <w:tc>
          <w:tcPr>
            <w:tcW w:w="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12" w:space="0" w:color="000000"/>
            </w:tcBorders>
            <w:shd w:fill="CCEEFF" w:val="clear"/>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7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12" w:space="0" w:color="000000"/>
            </w:tcBorders>
            <w:shd w:fill="FFFFFF" w:val="clear"/>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7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11,803</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12" w:space="0" w:color="000000"/>
            </w:tcBorders>
            <w:shd w:fill="FFFFFF" w:val="clear"/>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7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(70,035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(28,581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12" w:space="0" w:color="000000"/>
            </w:tcBorders>
            <w:shd w:fill="CCEEFF" w:val="clear"/>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7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(55,477</w:t>
            </w:r>
          </w:p>
        </w:tc>
        <w:tc>
          <w:tcPr>
            <w:tcW w:w="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12" w:space="0" w:color="000000"/>
            </w:tcBorders>
            <w:shd w:fill="CCEEFF" w:val="clear"/>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7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(14,491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INCOME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12" w:space="0" w:color="000000"/>
            </w:tcBorders>
            <w:shd w:fill="FFFFFF" w:val="clear"/>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7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12" w:space="0" w:color="000000"/>
            </w:tcBorders>
            <w:shd w:fill="FFFFFF" w:val="clear"/>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7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LOSS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(69,727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(27,965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(55,538</w:t>
            </w:r>
          </w:p>
        </w:tc>
        <w:tc>
          <w:tcPr>
            <w:tcW w:w="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(14,640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 (EXPENSE) BENEFIT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12" w:space="0" w:color="000000"/>
            </w:tcBorders>
            <w:shd w:fill="CCEEFF" w:val="clear"/>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7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12" w:space="0" w:color="000000"/>
            </w:tcBorders>
            <w:shd w:fill="CCEEFF" w:val="clear"/>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7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(69,752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(27,961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(55,487</w:t>
            </w:r>
          </w:p>
        </w:tc>
        <w:tc>
          <w:tcPr>
            <w:tcW w:w="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(14,722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AND DILUTED LOSS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(0.79</w:t>
            </w:r>
          </w:p>
        </w:tc>
        <w:tc>
          <w:tcPr>
            <w:tcW w:w="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(0.23</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number of basic and diluted ordinary shares outstanding (in thousands)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69,776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69,931</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63,910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(69,752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(55,487</w:t>
            </w:r>
          </w:p>
        </w:tc>
        <w:tc>
          <w:tcPr>
            <w:tcW w:w="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(14,722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gain  from marketable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12" w:space="0" w:color="000000"/>
            </w:tcBorders>
            <w:shd w:fill="CCEEFF" w:val="clear"/>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7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12" w:space="0" w:color="000000"/>
            </w:tcBorders>
            <w:shd w:fill="CCEEFF" w:val="clear"/>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7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comprehensive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12" w:space="0" w:color="000000"/>
            </w:tcBorders>
            <w:shd w:fill="FFFFFF" w:val="clear"/>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7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single" w:sz="12" w:space="0" w:color="000000"/>
            </w:tcBorders>
            <w:shd w:fill="FFFFFF" w:val="clear"/>
            <w:tcMar>
              <w:bottom w:w="30" w:type="dxa"/>
            </w:tcMar>
            <w:vAlign w:val="center"/>
          </w:tcPr>
          <w:p>
            <w:pPr>
              <w:pStyle w:val="TableContents"/>
              <w:bidi w:val="0"/>
              <w:spacing w:before="0" w:after="283"/>
              <w:jc w:val="left"/>
              <w:rPr>
                <w:caps w:val="false"/>
                <w:smallCaps w:val="false"/>
              </w:rPr>
            </w:pPr>
            <w:r>
              <w:rPr>
                <w:caps w:val="false"/>
                <w:smallCaps w:val="false"/>
              </w:rPr>
              <w:t> </w:t>
            </w:r>
          </w:p>
        </w:tc>
        <w:tc>
          <w:tcPr>
            <w:tcW w:w="7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(69,752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(27,959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(55,487</w:t>
            </w:r>
          </w:p>
        </w:tc>
        <w:tc>
          <w:tcPr>
            <w:tcW w:w="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(14,718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xml:space="preserve">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ind w:left="0" w:right="0" w:hanging="0"/>
        <w:jc w:val="center"/>
        <w:rPr>
          <w:rFonts w:ascii="Times New Roman;Times;Serif" w:hAnsi="Times New Roman;Times;Serif"/>
          <w:b/>
        </w:rPr>
      </w:pPr>
      <w:r>
        <w:rPr>
          <w:rFonts w:ascii="Times New Roman;Times;Serif" w:hAnsi="Times New Roman;Times;Serif"/>
          <w:b/>
        </w:rPr>
        <w:t>NANO-X IMAGING LTD.</w:t>
      </w:r>
    </w:p>
    <w:p>
      <w:pPr>
        <w:pStyle w:val="TextBody"/>
        <w:bidi w:val="0"/>
        <w:spacing w:before="0" w:after="0"/>
        <w:ind w:left="0" w:right="0" w:hanging="0"/>
        <w:jc w:val="center"/>
        <w:rPr>
          <w:rFonts w:ascii="Times New Roman;Times;Serif" w:hAnsi="Times New Roman;Times;Serif"/>
          <w:b/>
        </w:rPr>
      </w:pPr>
      <w:r>
        <w:rPr>
          <w:rFonts w:ascii="Times New Roman;Times;Serif" w:hAnsi="Times New Roman;Times;Serif"/>
          <w:b/>
        </w:rPr>
        <w:t>UNAUDITED CONDENSED STATEMENTS OF CHANGES IN SHAREHOLDERS’ EQUITY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9"/>
        <w:gridCol w:w="60"/>
        <w:gridCol w:w="67"/>
        <w:gridCol w:w="1247"/>
        <w:gridCol w:w="60"/>
        <w:gridCol w:w="60"/>
        <w:gridCol w:w="117"/>
        <w:gridCol w:w="743"/>
        <w:gridCol w:w="60"/>
        <w:gridCol w:w="60"/>
        <w:gridCol w:w="76"/>
        <w:gridCol w:w="1024"/>
        <w:gridCol w:w="60"/>
        <w:gridCol w:w="60"/>
        <w:gridCol w:w="593"/>
        <w:gridCol w:w="942"/>
        <w:gridCol w:w="60"/>
        <w:gridCol w:w="60"/>
        <w:gridCol w:w="87"/>
        <w:gridCol w:w="1283"/>
        <w:gridCol w:w="95"/>
        <w:gridCol w:w="60"/>
        <w:gridCol w:w="60"/>
        <w:gridCol w:w="800"/>
        <w:gridCol w:w="112"/>
      </w:tblGrid>
      <w:tr>
        <w:trPr/>
        <w:tc>
          <w:tcPr>
            <w:tcW w:w="23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9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center"/>
              <w:rPr>
                <w:b/>
              </w:rPr>
            </w:pPr>
            <w:r>
              <w:rPr>
                <w:b/>
              </w:rPr>
              <w:t>Accumulated</w:t>
              <w:br/>
              <w:t>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left"/>
              <w:rPr/>
            </w:pPr>
            <w:r>
              <w:rPr/>
              <w:t> </w:t>
            </w:r>
          </w:p>
        </w:tc>
      </w:tr>
      <w:tr>
        <w:trPr/>
        <w:tc>
          <w:tcPr>
            <w:tcW w:w="23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paid-in</w:t>
              <w:b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comprehensive</w:t>
              <w:br/>
              <w:t>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w:t>
              <w:b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2" w:type="dxa"/>
            <w:tcBorders/>
            <w:vAlign w:val="center"/>
          </w:tcPr>
          <w:p>
            <w:pPr>
              <w:pStyle w:val="TableContents"/>
              <w:bidi w:val="0"/>
              <w:spacing w:before="0" w:after="283"/>
              <w:jc w:val="left"/>
              <w:rPr/>
            </w:pPr>
            <w:r>
              <w:rPr/>
              <w:t> </w:t>
            </w:r>
          </w:p>
        </w:tc>
      </w:tr>
      <w:tr>
        <w:trPr/>
        <w:tc>
          <w:tcPr>
            <w:tcW w:w="23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74" w:type="dxa"/>
            <w:gridSpan w:val="22"/>
            <w:tcBorders/>
            <w:vAlign w:val="center"/>
          </w:tcPr>
          <w:p>
            <w:pPr>
              <w:pStyle w:val="TableContents"/>
              <w:bidi w:val="0"/>
              <w:spacing w:before="0" w:after="283"/>
              <w:jc w:val="center"/>
              <w:rPr>
                <w:b/>
              </w:rPr>
            </w:pPr>
            <w:r>
              <w:rPr>
                <w:b/>
              </w:rPr>
              <w:t>U.S. Dollars in thousands</w:t>
            </w:r>
          </w:p>
        </w:tc>
        <w:tc>
          <w:tcPr>
            <w:tcW w:w="112" w:type="dxa"/>
            <w:tcBorders/>
            <w:vAlign w:val="center"/>
          </w:tcPr>
          <w:p>
            <w:pPr>
              <w:pStyle w:val="TableContents"/>
              <w:bidi w:val="0"/>
              <w:spacing w:before="0" w:after="283"/>
              <w:ind w:left="0" w:right="0" w:hanging="180"/>
              <w:jc w:val="left"/>
              <w:rPr/>
            </w:pPr>
            <w:r>
              <w:rPr/>
              <w:t> </w:t>
            </w:r>
          </w:p>
        </w:tc>
      </w:tr>
      <w:tr>
        <w:trPr/>
        <w:tc>
          <w:tcPr>
            <w:tcW w:w="2359" w:type="dxa"/>
            <w:tcBorders/>
            <w:shd w:fill="CCEEFF" w:val="clear"/>
            <w:vAlign w:val="center"/>
          </w:tcPr>
          <w:p>
            <w:pPr>
              <w:pStyle w:val="TableContents"/>
              <w:bidi w:val="0"/>
              <w:spacing w:before="0" w:after="283"/>
              <w:jc w:val="left"/>
              <w:rPr>
                <w:b/>
              </w:rPr>
            </w:pPr>
            <w:r>
              <w:rPr>
                <w:b/>
              </w:rPr>
              <w:t>BALANCE AT JANUARY 1, 2026</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69,590,228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588,301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3"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(448,767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139,732</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2359" w:type="dxa"/>
            <w:tcBorders/>
            <w:shd w:fill="FFFFFF" w:val="clear"/>
            <w:vAlign w:val="center"/>
          </w:tcPr>
          <w:p>
            <w:pPr>
              <w:pStyle w:val="TableContents"/>
              <w:bidi w:val="0"/>
              <w:spacing w:before="0" w:after="283"/>
              <w:jc w:val="left"/>
              <w:rPr>
                <w:b/>
              </w:rPr>
            </w:pPr>
            <w:r>
              <w:rPr>
                <w:b/>
              </w:rPr>
              <w:t>Changes during the period:6</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3"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2359" w:type="dxa"/>
            <w:tcBorders/>
            <w:shd w:fill="CCEEFF" w:val="clear"/>
            <w:vAlign w:val="center"/>
          </w:tcPr>
          <w:p>
            <w:pPr>
              <w:pStyle w:val="TableContents"/>
              <w:bidi w:val="0"/>
              <w:spacing w:before="0" w:after="283"/>
              <w:jc w:val="left"/>
              <w:rPr/>
            </w:pPr>
            <w:r>
              <w:rPr/>
              <w:t>Issuance of ordinary shares upon exercise of RSUs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21,110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3"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2359" w:type="dxa"/>
            <w:tcBorders/>
            <w:shd w:fill="FFFFFF" w:val="clear"/>
            <w:vAlign w:val="center"/>
          </w:tcPr>
          <w:p>
            <w:pPr>
              <w:pStyle w:val="TableContents"/>
              <w:bidi w:val="0"/>
              <w:spacing w:before="0" w:after="283"/>
              <w:jc w:val="left"/>
              <w:rPr/>
            </w:pPr>
            <w:r>
              <w:rPr/>
              <w:t>Issuance of ordinary shares per settlement with a shareholder</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450,000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777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3"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778</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2359"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1,710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3"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1,710</w:t>
            </w:r>
          </w:p>
        </w:tc>
        <w:tc>
          <w:tcPr>
            <w:tcW w:w="112" w:type="dxa"/>
            <w:tcBorders/>
            <w:shd w:fill="CCEEFF" w:val="clear"/>
            <w:vAlign w:val="center"/>
          </w:tcPr>
          <w:p>
            <w:pPr>
              <w:pStyle w:val="TableContents"/>
              <w:bidi w:val="0"/>
              <w:spacing w:before="0" w:after="283"/>
              <w:jc w:val="left"/>
              <w:rPr/>
            </w:pPr>
            <w:r>
              <w:rPr/>
              <w:t> </w:t>
            </w:r>
          </w:p>
        </w:tc>
      </w:tr>
      <w:tr>
        <w:trPr/>
        <w:tc>
          <w:tcPr>
            <w:tcW w:w="2359" w:type="dxa"/>
            <w:tcBorders/>
            <w:shd w:fill="FFFFFF" w:val="clear"/>
            <w:vAlign w:val="center"/>
          </w:tcPr>
          <w:p>
            <w:pPr>
              <w:pStyle w:val="TableContents"/>
              <w:bidi w:val="0"/>
              <w:spacing w:before="0" w:after="283"/>
              <w:jc w:val="left"/>
              <w:rPr/>
            </w:pPr>
            <w:r>
              <w:rPr/>
              <w:t>Net loss for the period</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pPr>
            <w:r>
              <w:rPr/>
              <w:t>(69,752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(69,752</w:t>
            </w:r>
          </w:p>
        </w:tc>
        <w:tc>
          <w:tcPr>
            <w:tcW w:w="112" w:type="dxa"/>
            <w:tcBorders/>
            <w:shd w:fill="FFFFFF" w:val="clear"/>
            <w:vAlign w:val="center"/>
          </w:tcPr>
          <w:p>
            <w:pPr>
              <w:pStyle w:val="TableContents"/>
              <w:bidi w:val="0"/>
              <w:spacing w:before="0" w:after="283"/>
              <w:jc w:val="left"/>
              <w:rPr/>
            </w:pPr>
            <w:r>
              <w:rPr/>
              <w:t>)</w:t>
            </w:r>
          </w:p>
        </w:tc>
      </w:tr>
      <w:tr>
        <w:trPr/>
        <w:tc>
          <w:tcPr>
            <w:tcW w:w="2359" w:type="dxa"/>
            <w:tcBorders/>
            <w:shd w:fill="CCEEFF" w:val="clear"/>
            <w:vAlign w:val="center"/>
          </w:tcPr>
          <w:p>
            <w:pPr>
              <w:pStyle w:val="TableContents"/>
              <w:bidi w:val="0"/>
              <w:spacing w:before="0" w:after="283"/>
              <w:jc w:val="left"/>
              <w:rPr>
                <w:b/>
              </w:rPr>
            </w:pPr>
            <w:r>
              <w:rPr>
                <w:b/>
              </w:rPr>
              <w:t>BALANCE AT JUNE 30, 2026</w:t>
            </w:r>
          </w:p>
        </w:tc>
        <w:tc>
          <w:tcPr>
            <w:tcW w:w="60" w:type="dxa"/>
            <w:tcBorders/>
            <w:shd w:fill="CCEEFF" w:val="clear"/>
            <w:vAlign w:val="center"/>
          </w:tcPr>
          <w:p>
            <w:pPr>
              <w:pStyle w:val="TableContents"/>
              <w:bidi w:val="0"/>
              <w:spacing w:before="0" w:after="283"/>
              <w:jc w:val="left"/>
              <w:rPr/>
            </w:pPr>
            <w:r>
              <w:rPr/>
              <w:t> </w:t>
            </w:r>
          </w:p>
        </w:tc>
        <w:tc>
          <w:tcPr>
            <w:tcW w:w="6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double" w:sz="10" w:space="0" w:color="000000"/>
            </w:tcBorders>
            <w:shd w:fill="CCEEFF" w:val="clear"/>
            <w:tcMar>
              <w:bottom w:w="28" w:type="dxa"/>
            </w:tcMar>
            <w:vAlign w:val="center"/>
          </w:tcPr>
          <w:p>
            <w:pPr>
              <w:pStyle w:val="TableContents"/>
              <w:bidi w:val="0"/>
              <w:spacing w:before="0" w:after="283"/>
              <w:jc w:val="right"/>
              <w:rPr/>
            </w:pPr>
            <w:r>
              <w:rPr/>
              <w:t>70,061,338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43" w:type="dxa"/>
            <w:tcBorders>
              <w:bottom w:val="double" w:sz="10" w:space="0" w:color="000000"/>
            </w:tcBorders>
            <w:shd w:fill="CCEEFF" w:val="clear"/>
            <w:tcMar>
              <w:bottom w:w="28" w:type="dxa"/>
            </w:tcMar>
            <w:vAlign w:val="center"/>
          </w:tcPr>
          <w:p>
            <w:pPr>
              <w:pStyle w:val="TableContents"/>
              <w:bidi w:val="0"/>
              <w:spacing w:before="0" w:after="283"/>
              <w:jc w:val="right"/>
              <w:rPr/>
            </w:pPr>
            <w:r>
              <w:rPr/>
              <w:t>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double" w:sz="10" w:space="0" w:color="000000"/>
            </w:tcBorders>
            <w:shd w:fill="CCEEFF" w:val="clear"/>
            <w:tcMar>
              <w:bottom w:w="28" w:type="dxa"/>
            </w:tcMar>
            <w:vAlign w:val="center"/>
          </w:tcPr>
          <w:p>
            <w:pPr>
              <w:pStyle w:val="TableContents"/>
              <w:bidi w:val="0"/>
              <w:spacing w:before="0" w:after="283"/>
              <w:jc w:val="right"/>
              <w:rPr/>
            </w:pPr>
            <w:r>
              <w:rPr/>
              <w:t>590,788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double" w:sz="10" w:space="0" w:color="000000"/>
            </w:tcBorders>
            <w:shd w:fill="CCEEFF" w:val="clear"/>
            <w:tcMar>
              <w:bottom w:w="28" w:type="dxa"/>
            </w:tcMar>
            <w:vAlign w:val="center"/>
          </w:tcPr>
          <w:p>
            <w:pPr>
              <w:pStyle w:val="TableContents"/>
              <w:bidi w:val="0"/>
              <w:spacing w:before="0" w:after="283"/>
              <w:jc w:val="right"/>
              <w:rPr/>
            </w:pPr>
            <w:r>
              <w:rPr/>
              <w:t>(518,519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72,468</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0"/>
        <w:gridCol w:w="60"/>
        <w:gridCol w:w="60"/>
        <w:gridCol w:w="1100"/>
        <w:gridCol w:w="60"/>
        <w:gridCol w:w="60"/>
        <w:gridCol w:w="117"/>
        <w:gridCol w:w="743"/>
        <w:gridCol w:w="60"/>
        <w:gridCol w:w="60"/>
        <w:gridCol w:w="76"/>
        <w:gridCol w:w="1024"/>
        <w:gridCol w:w="60"/>
        <w:gridCol w:w="60"/>
        <w:gridCol w:w="333"/>
        <w:gridCol w:w="1202"/>
        <w:gridCol w:w="95"/>
        <w:gridCol w:w="60"/>
        <w:gridCol w:w="87"/>
        <w:gridCol w:w="1283"/>
        <w:gridCol w:w="95"/>
        <w:gridCol w:w="60"/>
        <w:gridCol w:w="60"/>
        <w:gridCol w:w="800"/>
        <w:gridCol w:w="110"/>
      </w:tblGrid>
      <w:tr>
        <w:trPr/>
        <w:tc>
          <w:tcPr>
            <w:tcW w:w="2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center"/>
              <w:rPr>
                <w:b/>
              </w:rPr>
            </w:pPr>
            <w:r>
              <w:rPr>
                <w:b/>
              </w:rPr>
              <w:t>Accumulated</w:t>
              <w:br/>
              <w:t>other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paid-in</w:t>
              <w:b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comprehensive</w:t>
              <w:b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w:t>
              <w:b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55" w:type="dxa"/>
            <w:gridSpan w:val="22"/>
            <w:tcBorders/>
            <w:vAlign w:val="center"/>
          </w:tcPr>
          <w:p>
            <w:pPr>
              <w:pStyle w:val="TableContents"/>
              <w:bidi w:val="0"/>
              <w:spacing w:before="0" w:after="283"/>
              <w:jc w:val="center"/>
              <w:rPr>
                <w:b/>
              </w:rPr>
            </w:pPr>
            <w:r>
              <w:rPr>
                <w:b/>
              </w:rPr>
              <w:t>U.S. Dollars in thousands</w:t>
            </w:r>
          </w:p>
        </w:tc>
        <w:tc>
          <w:tcPr>
            <w:tcW w:w="110" w:type="dxa"/>
            <w:tcBorders/>
            <w:vAlign w:val="center"/>
          </w:tcPr>
          <w:p>
            <w:pPr>
              <w:pStyle w:val="TableContents"/>
              <w:bidi w:val="0"/>
              <w:spacing w:before="0" w:after="283"/>
              <w:ind w:left="0" w:right="0" w:hanging="180"/>
              <w:jc w:val="left"/>
              <w:rPr/>
            </w:pPr>
            <w:r>
              <w:rPr/>
              <w:t> </w:t>
            </w:r>
          </w:p>
        </w:tc>
      </w:tr>
      <w:tr>
        <w:trPr/>
        <w:tc>
          <w:tcPr>
            <w:tcW w:w="2480" w:type="dxa"/>
            <w:tcBorders/>
            <w:shd w:fill="CCEEFF" w:val="clear"/>
            <w:vAlign w:val="center"/>
          </w:tcPr>
          <w:p>
            <w:pPr>
              <w:pStyle w:val="TableContents"/>
              <w:bidi w:val="0"/>
              <w:spacing w:before="0" w:after="283"/>
              <w:jc w:val="left"/>
              <w:rPr>
                <w:b/>
              </w:rPr>
            </w:pPr>
            <w:r>
              <w:rPr>
                <w:b/>
              </w:rPr>
              <w:t>BALANCE AT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63,762,001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181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562,688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(373,749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189,119</w:t>
            </w:r>
          </w:p>
        </w:tc>
        <w:tc>
          <w:tcPr>
            <w:tcW w:w="110"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b/>
              </w:rPr>
            </w:pPr>
            <w:r>
              <w:rPr>
                <w:b/>
              </w:rPr>
              <w:t>Changes during the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2480" w:type="dxa"/>
            <w:tcBorders/>
            <w:shd w:fill="CCEEFF" w:val="clear"/>
            <w:vAlign w:val="center"/>
          </w:tcPr>
          <w:p>
            <w:pPr>
              <w:pStyle w:val="TableContents"/>
              <w:bidi w:val="0"/>
              <w:spacing w:before="0" w:after="283"/>
              <w:jc w:val="left"/>
              <w:rPr/>
            </w:pPr>
            <w:r>
              <w:rPr/>
              <w:t>Issuance of ordinary shares upon exercise of RSUs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2480" w:type="dxa"/>
            <w:tcBorders/>
            <w:shd w:fill="FFFFFF" w:val="clear"/>
            <w:vAlign w:val="center"/>
          </w:tcPr>
          <w:p>
            <w:pPr>
              <w:pStyle w:val="TableContents"/>
              <w:bidi w:val="0"/>
              <w:spacing w:before="0" w:after="283"/>
              <w:jc w:val="left"/>
              <w:rPr/>
            </w:pPr>
            <w:r>
              <w:rPr/>
              <w:t>Issuance of ordinary shares upon exercise of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54,903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121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2480" w:type="dxa"/>
            <w:tcBorders/>
            <w:shd w:fill="CCEEFF" w:val="clear"/>
            <w:vAlign w:val="center"/>
          </w:tcPr>
          <w:p>
            <w:pPr>
              <w:pStyle w:val="TableContents"/>
              <w:bidi w:val="0"/>
              <w:spacing w:before="0" w:after="283"/>
              <w:jc w:val="left"/>
              <w:rPr/>
            </w:pPr>
            <w:r>
              <w:rPr/>
              <w:t>Issuance of ordinary shares due the settlement of contingent earnout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116,226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2,277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2,277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2480" w:type="dxa"/>
            <w:tcBorders/>
            <w:shd w:fill="CCEEFF" w:val="clear"/>
            <w:vAlign w:val="center"/>
          </w:tcPr>
          <w:p>
            <w:pPr>
              <w:pStyle w:val="TableContents"/>
              <w:bidi w:val="0"/>
              <w:spacing w:before="0" w:after="283"/>
              <w:jc w:val="left"/>
              <w:rPr/>
            </w:pPr>
            <w:r>
              <w:rPr/>
              <w:t>Unrealized gain from marketable securities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w:t>
            </w:r>
          </w:p>
        </w:tc>
        <w:tc>
          <w:tcPr>
            <w:tcW w:w="110"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Net 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pPr>
            <w:r>
              <w:rPr/>
              <w:t>(27,961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(27,961</w:t>
            </w:r>
          </w:p>
        </w:tc>
        <w:tc>
          <w:tcPr>
            <w:tcW w:w="110" w:type="dxa"/>
            <w:tcBorders/>
            <w:shd w:fill="FFFFFF" w:val="clear"/>
            <w:vAlign w:val="center"/>
          </w:tcPr>
          <w:p>
            <w:pPr>
              <w:pStyle w:val="TableContents"/>
              <w:bidi w:val="0"/>
              <w:spacing w:before="0" w:after="283"/>
              <w:jc w:val="left"/>
              <w:rPr/>
            </w:pPr>
            <w:r>
              <w:rPr/>
              <w:t>)</w:t>
            </w:r>
          </w:p>
        </w:tc>
      </w:tr>
      <w:tr>
        <w:trPr/>
        <w:tc>
          <w:tcPr>
            <w:tcW w:w="2480" w:type="dxa"/>
            <w:tcBorders/>
            <w:shd w:fill="CCEEFF" w:val="clear"/>
            <w:vAlign w:val="center"/>
          </w:tcPr>
          <w:p>
            <w:pPr>
              <w:pStyle w:val="TableContents"/>
              <w:bidi w:val="0"/>
              <w:spacing w:before="0" w:after="283"/>
              <w:jc w:val="left"/>
              <w:rPr>
                <w:b/>
              </w:rPr>
            </w:pPr>
            <w:r>
              <w:rPr>
                <w:b/>
              </w:rPr>
              <w:t>BALANCE AT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63,939,620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43" w:type="dxa"/>
            <w:tcBorders>
              <w:bottom w:val="double" w:sz="10" w:space="0" w:color="000000"/>
            </w:tcBorders>
            <w:shd w:fill="CCEEFF" w:val="clear"/>
            <w:tcMar>
              <w:bottom w:w="28" w:type="dxa"/>
            </w:tcMar>
            <w:vAlign w:val="center"/>
          </w:tcPr>
          <w:p>
            <w:pPr>
              <w:pStyle w:val="TableContents"/>
              <w:bidi w:val="0"/>
              <w:spacing w:before="0" w:after="283"/>
              <w:jc w:val="right"/>
              <w:rPr/>
            </w:pPr>
            <w:r>
              <w:rPr/>
              <w:t>181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double" w:sz="10" w:space="0" w:color="000000"/>
            </w:tcBorders>
            <w:shd w:fill="CCEEFF" w:val="clear"/>
            <w:tcMar>
              <w:bottom w:w="28" w:type="dxa"/>
            </w:tcMar>
            <w:vAlign w:val="center"/>
          </w:tcPr>
          <w:p>
            <w:pPr>
              <w:pStyle w:val="TableContents"/>
              <w:bidi w:val="0"/>
              <w:spacing w:before="0" w:after="283"/>
              <w:jc w:val="right"/>
              <w:rPr/>
            </w:pPr>
            <w:r>
              <w:rPr/>
              <w:t>565,086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2" w:type="dxa"/>
            <w:tcBorders>
              <w:bottom w:val="double" w:sz="10" w:space="0" w:color="000000"/>
            </w:tcBorders>
            <w:shd w:fill="CCEEFF" w:val="clear"/>
            <w:tcMar>
              <w:bottom w:w="28" w:type="dxa"/>
            </w:tcM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double" w:sz="10" w:space="0" w:color="000000"/>
            </w:tcBorders>
            <w:shd w:fill="CCEEFF" w:val="clear"/>
            <w:tcMar>
              <w:bottom w:w="28" w:type="dxa"/>
            </w:tcMar>
            <w:vAlign w:val="center"/>
          </w:tcPr>
          <w:p>
            <w:pPr>
              <w:pStyle w:val="TableContents"/>
              <w:bidi w:val="0"/>
              <w:spacing w:before="0" w:after="283"/>
              <w:jc w:val="right"/>
              <w:rPr/>
            </w:pPr>
            <w:r>
              <w:rPr/>
              <w:t>(401,710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163,558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240" w:type="dxa"/>
        <w:jc w:val="left"/>
        <w:tblInd w:w="0" w:type="dxa"/>
        <w:tblLayout w:type="fixed"/>
        <w:tblCellMar>
          <w:top w:w="0" w:type="dxa"/>
          <w:left w:w="0" w:type="dxa"/>
          <w:bottom w:w="0" w:type="dxa"/>
          <w:right w:w="0" w:type="dxa"/>
        </w:tblCellMar>
      </w:tblPr>
      <w:tblGrid>
        <w:gridCol w:w="140"/>
        <w:gridCol w:w="1100"/>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than $1.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0"/>
        <w:gridCol w:w="60"/>
        <w:gridCol w:w="60"/>
        <w:gridCol w:w="1100"/>
        <w:gridCol w:w="60"/>
        <w:gridCol w:w="60"/>
        <w:gridCol w:w="117"/>
        <w:gridCol w:w="743"/>
        <w:gridCol w:w="60"/>
        <w:gridCol w:w="60"/>
        <w:gridCol w:w="76"/>
        <w:gridCol w:w="1024"/>
        <w:gridCol w:w="60"/>
        <w:gridCol w:w="60"/>
        <w:gridCol w:w="593"/>
        <w:gridCol w:w="942"/>
        <w:gridCol w:w="60"/>
        <w:gridCol w:w="60"/>
        <w:gridCol w:w="87"/>
        <w:gridCol w:w="1283"/>
        <w:gridCol w:w="95"/>
        <w:gridCol w:w="60"/>
        <w:gridCol w:w="60"/>
        <w:gridCol w:w="800"/>
        <w:gridCol w:w="85"/>
      </w:tblGrid>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center"/>
              <w:rPr>
                <w:b/>
              </w:rPr>
            </w:pPr>
            <w:r>
              <w:rPr>
                <w:b/>
              </w:rPr>
              <w:t>Accumulated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85"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center"/>
              <w:rPr>
                <w:b/>
              </w:rPr>
            </w:pPr>
            <w:r>
              <w:rPr>
                <w:b/>
              </w:rPr>
              <w:t>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85"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Number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center"/>
              <w:rPr>
                <w:b/>
              </w:rPr>
            </w:pPr>
            <w:r>
              <w:rPr>
                <w:b/>
              </w:rPr>
              <w:t>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85"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85"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20" w:type="dxa"/>
            <w:gridSpan w:val="22"/>
            <w:tcBorders/>
            <w:vAlign w:val="center"/>
          </w:tcPr>
          <w:p>
            <w:pPr>
              <w:pStyle w:val="TableContents"/>
              <w:bidi w:val="0"/>
              <w:spacing w:before="0" w:after="283"/>
              <w:jc w:val="center"/>
              <w:rPr>
                <w:b/>
              </w:rPr>
            </w:pPr>
            <w:r>
              <w:rPr>
                <w:b/>
              </w:rPr>
              <w:t>U.S. Dollars in thousands</w:t>
            </w:r>
          </w:p>
        </w:tc>
        <w:tc>
          <w:tcPr>
            <w:tcW w:w="85" w:type="dxa"/>
            <w:tcBorders/>
            <w:vAlign w:val="center"/>
          </w:tcPr>
          <w:p>
            <w:pPr>
              <w:pStyle w:val="TableContents"/>
              <w:bidi w:val="0"/>
              <w:spacing w:before="0" w:after="283"/>
              <w:ind w:left="0" w:right="0" w:hanging="180"/>
              <w:jc w:val="left"/>
              <w:rPr/>
            </w:pPr>
            <w:r>
              <w:rPr/>
              <w:t> </w:t>
            </w:r>
          </w:p>
        </w:tc>
      </w:tr>
      <w:tr>
        <w:trPr/>
        <w:tc>
          <w:tcPr>
            <w:tcW w:w="2540" w:type="dxa"/>
            <w:tcBorders/>
            <w:shd w:fill="CCEEFF" w:val="clear"/>
            <w:vAlign w:val="center"/>
          </w:tcPr>
          <w:p>
            <w:pPr>
              <w:pStyle w:val="TableContents"/>
              <w:bidi w:val="0"/>
              <w:spacing w:before="0" w:after="283"/>
              <w:jc w:val="left"/>
              <w:rPr>
                <w:b/>
              </w:rPr>
            </w:pPr>
            <w:r>
              <w:rPr>
                <w:b/>
              </w:rPr>
              <w:t>BALANCE AT APRIL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69,600,783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589,142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3"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(463,032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126,308</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2540" w:type="dxa"/>
            <w:tcBorders/>
            <w:shd w:fill="FFFFFF" w:val="clear"/>
            <w:vAlign w:val="center"/>
          </w:tcPr>
          <w:p>
            <w:pPr>
              <w:pStyle w:val="TableContents"/>
              <w:bidi w:val="0"/>
              <w:spacing w:before="0" w:after="283"/>
              <w:jc w:val="left"/>
              <w:rPr>
                <w:b/>
              </w:rPr>
            </w:pPr>
            <w:r>
              <w:rPr>
                <w:b/>
              </w:rPr>
              <w:t>Changes during the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3"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2540" w:type="dxa"/>
            <w:tcBorders/>
            <w:shd w:fill="CCEEFF" w:val="clear"/>
            <w:vAlign w:val="center"/>
          </w:tcPr>
          <w:p>
            <w:pPr>
              <w:pStyle w:val="TableContents"/>
              <w:bidi w:val="0"/>
              <w:spacing w:before="0" w:after="283"/>
              <w:jc w:val="left"/>
              <w:rPr/>
            </w:pPr>
            <w:r>
              <w:rPr/>
              <w:t>Issuance of ordinary shares upon exercise of RSUs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10,555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3"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2540" w:type="dxa"/>
            <w:tcBorders/>
            <w:shd w:fill="FFFFFF" w:val="clear"/>
            <w:vAlign w:val="center"/>
          </w:tcPr>
          <w:p>
            <w:pPr>
              <w:pStyle w:val="TableContents"/>
              <w:bidi w:val="0"/>
              <w:spacing w:before="0" w:after="283"/>
              <w:jc w:val="left"/>
              <w:rPr/>
            </w:pPr>
            <w:r>
              <w:rPr/>
              <w:t>Issuance of ordinary shares per settlement with a shareholder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777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3"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778</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2540"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869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3"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869</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2540" w:type="dxa"/>
            <w:tcBorders/>
            <w:shd w:fill="FFFFFF" w:val="clear"/>
            <w:vAlign w:val="center"/>
          </w:tcPr>
          <w:p>
            <w:pPr>
              <w:pStyle w:val="TableContents"/>
              <w:bidi w:val="0"/>
              <w:spacing w:before="0" w:after="283"/>
              <w:jc w:val="left"/>
              <w:rPr/>
            </w:pPr>
            <w:r>
              <w:rPr/>
              <w:t>Net 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pPr>
            <w:r>
              <w:rPr/>
              <w:t>(55,487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(55,487</w:t>
            </w:r>
          </w:p>
        </w:tc>
        <w:tc>
          <w:tcPr>
            <w:tcW w:w="85" w:type="dxa"/>
            <w:tcBorders/>
            <w:shd w:fill="FFFFFF" w:val="clear"/>
            <w:vAlign w:val="center"/>
          </w:tcPr>
          <w:p>
            <w:pPr>
              <w:pStyle w:val="TableContents"/>
              <w:bidi w:val="0"/>
              <w:spacing w:before="0" w:after="283"/>
              <w:ind w:left="0" w:right="0" w:hanging="180"/>
              <w:jc w:val="left"/>
              <w:rPr/>
            </w:pPr>
            <w:r>
              <w:rPr/>
              <w:t>)</w:t>
            </w:r>
          </w:p>
        </w:tc>
      </w:tr>
      <w:tr>
        <w:trPr/>
        <w:tc>
          <w:tcPr>
            <w:tcW w:w="2540" w:type="dxa"/>
            <w:tcBorders/>
            <w:shd w:fill="CCEEFF" w:val="clear"/>
            <w:vAlign w:val="center"/>
          </w:tcPr>
          <w:p>
            <w:pPr>
              <w:pStyle w:val="TableContents"/>
              <w:bidi w:val="0"/>
              <w:spacing w:before="0" w:after="283"/>
              <w:jc w:val="left"/>
              <w:rPr>
                <w:b/>
              </w:rPr>
            </w:pPr>
            <w:r>
              <w:rPr>
                <w:b/>
              </w:rPr>
              <w:t>BALANCE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70,061,338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43" w:type="dxa"/>
            <w:tcBorders>
              <w:bottom w:val="double" w:sz="10" w:space="0" w:color="000000"/>
            </w:tcBorders>
            <w:shd w:fill="CCEEFF" w:val="clear"/>
            <w:tcMar>
              <w:bottom w:w="28" w:type="dxa"/>
            </w:tcMar>
            <w:vAlign w:val="center"/>
          </w:tcPr>
          <w:p>
            <w:pPr>
              <w:pStyle w:val="TableContents"/>
              <w:bidi w:val="0"/>
              <w:spacing w:before="0" w:after="283"/>
              <w:jc w:val="right"/>
              <w:rPr/>
            </w:pPr>
            <w:r>
              <w:rPr/>
              <w:t>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double" w:sz="10" w:space="0" w:color="000000"/>
            </w:tcBorders>
            <w:shd w:fill="CCEEFF" w:val="clear"/>
            <w:tcMar>
              <w:bottom w:w="28" w:type="dxa"/>
            </w:tcMar>
            <w:vAlign w:val="center"/>
          </w:tcPr>
          <w:p>
            <w:pPr>
              <w:pStyle w:val="TableContents"/>
              <w:bidi w:val="0"/>
              <w:spacing w:before="0" w:after="283"/>
              <w:jc w:val="right"/>
              <w:rPr/>
            </w:pPr>
            <w:r>
              <w:rPr/>
              <w:t>590,788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double" w:sz="10" w:space="0" w:color="000000"/>
            </w:tcBorders>
            <w:shd w:fill="CCEEFF" w:val="clear"/>
            <w:tcMar>
              <w:bottom w:w="28" w:type="dxa"/>
            </w:tcMar>
            <w:vAlign w:val="center"/>
          </w:tcPr>
          <w:p>
            <w:pPr>
              <w:pStyle w:val="TableContents"/>
              <w:bidi w:val="0"/>
              <w:spacing w:before="0" w:after="283"/>
              <w:jc w:val="right"/>
              <w:rPr/>
            </w:pPr>
            <w:r>
              <w:rPr/>
              <w:t>(518,519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72,468</w:t>
            </w:r>
          </w:p>
        </w:tc>
        <w:tc>
          <w:tcPr>
            <w:tcW w:w="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05"/>
        <w:gridCol w:w="60"/>
        <w:gridCol w:w="60"/>
        <w:gridCol w:w="950"/>
        <w:gridCol w:w="60"/>
        <w:gridCol w:w="60"/>
        <w:gridCol w:w="105"/>
        <w:gridCol w:w="590"/>
        <w:gridCol w:w="60"/>
        <w:gridCol w:w="60"/>
        <w:gridCol w:w="73"/>
        <w:gridCol w:w="847"/>
        <w:gridCol w:w="60"/>
        <w:gridCol w:w="60"/>
        <w:gridCol w:w="316"/>
        <w:gridCol w:w="979"/>
        <w:gridCol w:w="80"/>
        <w:gridCol w:w="60"/>
        <w:gridCol w:w="83"/>
        <w:gridCol w:w="1047"/>
        <w:gridCol w:w="80"/>
        <w:gridCol w:w="60"/>
        <w:gridCol w:w="60"/>
        <w:gridCol w:w="695"/>
        <w:gridCol w:w="95"/>
      </w:tblGrid>
      <w:tr>
        <w:trPr/>
        <w:tc>
          <w:tcPr>
            <w:tcW w:w="36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25" w:type="dxa"/>
            <w:gridSpan w:val="6"/>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center"/>
              <w:rPr>
                <w:b/>
                <w:sz w:val="20"/>
              </w:rPr>
            </w:pPr>
            <w:r>
              <w:rPr>
                <w:b/>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25"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b/>
                <w:sz w:val="20"/>
              </w:rPr>
            </w:pPr>
            <w:r>
              <w:rPr>
                <w:b/>
                <w:sz w:val="20"/>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center"/>
              <w:rPr>
                <w:b/>
                <w:sz w:val="20"/>
              </w:rPr>
            </w:pPr>
            <w:r>
              <w:rPr>
                <w:b/>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b/>
                <w:sz w:val="20"/>
              </w:rPr>
            </w:pPr>
            <w:r>
              <w:rPr>
                <w:b/>
                <w:sz w:val="20"/>
              </w:rPr>
              <w:t>Number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b/>
                <w:sz w:val="20"/>
              </w:rPr>
            </w:pPr>
            <w:r>
              <w:rPr>
                <w:b/>
                <w:sz w:val="20"/>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center"/>
              <w:rPr>
                <w:b/>
                <w:sz w:val="20"/>
              </w:rPr>
            </w:pPr>
            <w:r>
              <w:rPr>
                <w:b/>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sz w:val="20"/>
              </w:rPr>
            </w:pPr>
            <w:r>
              <w:rPr>
                <w:b/>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Total</w:t>
            </w:r>
          </w:p>
        </w:tc>
        <w:tc>
          <w:tcPr>
            <w:tcW w:w="9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45" w:type="dxa"/>
            <w:gridSpan w:val="22"/>
            <w:tcBorders/>
            <w:vAlign w:val="center"/>
          </w:tcPr>
          <w:p>
            <w:pPr>
              <w:pStyle w:val="TableContents"/>
              <w:bidi w:val="0"/>
              <w:spacing w:before="0" w:after="283"/>
              <w:jc w:val="center"/>
              <w:rPr>
                <w:b/>
                <w:sz w:val="20"/>
              </w:rPr>
            </w:pPr>
            <w:r>
              <w:rPr>
                <w:b/>
                <w:sz w:val="20"/>
              </w:rPr>
              <w:t>U.S. Dollars in thousands</w:t>
            </w:r>
          </w:p>
        </w:tc>
        <w:tc>
          <w:tcPr>
            <w:tcW w:w="95" w:type="dxa"/>
            <w:tcBorders/>
            <w:vAlign w:val="center"/>
          </w:tcPr>
          <w:p>
            <w:pPr>
              <w:pStyle w:val="TableContents"/>
              <w:bidi w:val="0"/>
              <w:spacing w:before="0" w:after="283"/>
              <w:ind w:left="0" w:right="0" w:hanging="0"/>
              <w:jc w:val="left"/>
              <w:rPr/>
            </w:pPr>
            <w:r>
              <w:rPr/>
              <w:t> </w:t>
            </w:r>
          </w:p>
        </w:tc>
      </w:tr>
      <w:tr>
        <w:trPr/>
        <w:tc>
          <w:tcPr>
            <w:tcW w:w="3605" w:type="dxa"/>
            <w:tcBorders/>
            <w:shd w:fill="CCEEFF" w:val="clear"/>
            <w:vAlign w:val="center"/>
          </w:tcPr>
          <w:p>
            <w:pPr>
              <w:pStyle w:val="TableContents"/>
              <w:bidi w:val="0"/>
              <w:spacing w:before="0" w:after="283"/>
              <w:jc w:val="left"/>
              <w:rPr>
                <w:b/>
                <w:sz w:val="20"/>
              </w:rPr>
            </w:pPr>
            <w:r>
              <w:rPr>
                <w:b/>
                <w:sz w:val="20"/>
              </w:rPr>
              <w:t>BALANCE AT APRIL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63,819,170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sz w:val="20"/>
              </w:rPr>
            </w:pPr>
            <w:r>
              <w:rPr>
                <w:sz w:val="20"/>
              </w:rPr>
              <w:t>563,975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sz w:val="20"/>
              </w:rPr>
            </w:pPr>
            <w:r>
              <w:rPr>
                <w:sz w:val="20"/>
              </w:rPr>
              <w:t>(3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sz w:val="20"/>
              </w:rPr>
            </w:pPr>
            <w:r>
              <w:rPr>
                <w:sz w:val="20"/>
              </w:rPr>
              <w:t>(386,988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177,165</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3605" w:type="dxa"/>
            <w:tcBorders/>
            <w:shd w:fill="FFFFFF" w:val="clear"/>
            <w:vAlign w:val="center"/>
          </w:tcPr>
          <w:p>
            <w:pPr>
              <w:pStyle w:val="TableContents"/>
              <w:bidi w:val="0"/>
              <w:spacing w:before="0" w:after="283"/>
              <w:jc w:val="left"/>
              <w:rPr>
                <w:b/>
                <w:sz w:val="20"/>
              </w:rPr>
            </w:pPr>
            <w:r>
              <w:rPr>
                <w:b/>
                <w:sz w:val="20"/>
              </w:rPr>
              <w:t>Changes during the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3605" w:type="dxa"/>
            <w:tcBorders/>
            <w:shd w:fill="CCEEFF" w:val="clear"/>
            <w:vAlign w:val="center"/>
          </w:tcPr>
          <w:p>
            <w:pPr>
              <w:pStyle w:val="TableContents"/>
              <w:bidi w:val="0"/>
              <w:spacing w:before="0" w:after="283"/>
              <w:jc w:val="left"/>
              <w:rPr>
                <w:sz w:val="20"/>
              </w:rPr>
            </w:pPr>
            <w:r>
              <w:rPr>
                <w:sz w:val="20"/>
              </w:rPr>
              <w:t>Issuance of ordinary shares upon exercise of RSUs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3,245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3605" w:type="dxa"/>
            <w:tcBorders/>
            <w:shd w:fill="FFFFFF" w:val="clear"/>
            <w:vAlign w:val="center"/>
          </w:tcPr>
          <w:p>
            <w:pPr>
              <w:pStyle w:val="TableContents"/>
              <w:bidi w:val="0"/>
              <w:spacing w:before="0" w:after="283"/>
              <w:jc w:val="left"/>
              <w:rPr>
                <w:sz w:val="20"/>
              </w:rPr>
            </w:pPr>
            <w:r>
              <w:rPr>
                <w:sz w:val="20"/>
              </w:rPr>
              <w:t>Issuance of ordinary shares upon exercise of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979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3605" w:type="dxa"/>
            <w:tcBorders/>
            <w:shd w:fill="CCEEFF" w:val="clear"/>
            <w:vAlign w:val="center"/>
          </w:tcPr>
          <w:p>
            <w:pPr>
              <w:pStyle w:val="TableContents"/>
              <w:bidi w:val="0"/>
              <w:spacing w:before="0" w:after="283"/>
              <w:jc w:val="left"/>
              <w:rPr>
                <w:sz w:val="20"/>
              </w:rPr>
            </w:pPr>
            <w:r>
              <w:rPr>
                <w:sz w:val="20"/>
              </w:rPr>
              <w:t>Issuance of ordinary shares due the settlement of contingent earnout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116,226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3605" w:type="dxa"/>
            <w:tcBorders/>
            <w:shd w:fill="FFFFFF" w:val="clear"/>
            <w:vAlign w:val="center"/>
          </w:tcPr>
          <w:p>
            <w:pPr>
              <w:pStyle w:val="TableContents"/>
              <w:bidi w:val="0"/>
              <w:spacing w:before="0" w:after="283"/>
              <w:jc w:val="left"/>
              <w:rPr>
                <w:sz w:val="20"/>
              </w:rPr>
            </w:pPr>
            <w:r>
              <w:rPr>
                <w:sz w:val="20"/>
              </w:rPr>
              <w:t>Unrealized gain from marketable securities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sz w:val="20"/>
              </w:rPr>
            </w:pPr>
            <w:r>
              <w:rPr>
                <w:sz w:val="20"/>
              </w:rPr>
              <w:t>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4</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3605" w:type="dxa"/>
            <w:tcBorders/>
            <w:shd w:fill="CCEEFF" w:val="clear"/>
            <w:vAlign w:val="center"/>
          </w:tcPr>
          <w:p>
            <w:pPr>
              <w:pStyle w:val="TableContents"/>
              <w:bidi w:val="0"/>
              <w:spacing w:before="0" w:after="283"/>
              <w:jc w:val="left"/>
              <w:rPr>
                <w:sz w:val="20"/>
              </w:rPr>
            </w:pPr>
            <w:r>
              <w:rPr>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sz w:val="20"/>
              </w:rPr>
            </w:pPr>
            <w:r>
              <w:rPr>
                <w:sz w:val="20"/>
              </w:rPr>
              <w:t>1,111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1,111</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3605" w:type="dxa"/>
            <w:tcBorders/>
            <w:shd w:fill="FFFFFF" w:val="clear"/>
            <w:vAlign w:val="center"/>
          </w:tcPr>
          <w:p>
            <w:pPr>
              <w:pStyle w:val="TableContents"/>
              <w:bidi w:val="0"/>
              <w:spacing w:before="0" w:after="283"/>
              <w:jc w:val="left"/>
              <w:rPr>
                <w:sz w:val="20"/>
              </w:rPr>
            </w:pPr>
            <w:r>
              <w:rPr>
                <w:sz w:val="20"/>
              </w:rPr>
              <w:t>Net 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9"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(14,722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(14,722</w:t>
            </w:r>
          </w:p>
        </w:tc>
        <w:tc>
          <w:tcPr>
            <w:tcW w:w="95" w:type="dxa"/>
            <w:tcBorders/>
            <w:shd w:fill="FFFFFF" w:val="clear"/>
            <w:vAlign w:val="center"/>
          </w:tcPr>
          <w:p>
            <w:pPr>
              <w:pStyle w:val="TableContents"/>
              <w:bidi w:val="0"/>
              <w:spacing w:before="0" w:after="283"/>
              <w:ind w:left="0" w:right="0" w:hanging="0"/>
              <w:jc w:val="left"/>
              <w:rPr>
                <w:sz w:val="20"/>
              </w:rPr>
            </w:pPr>
            <w:r>
              <w:rPr>
                <w:sz w:val="20"/>
              </w:rPr>
              <w:t>)</w:t>
            </w:r>
          </w:p>
        </w:tc>
      </w:tr>
      <w:tr>
        <w:trPr/>
        <w:tc>
          <w:tcPr>
            <w:tcW w:w="3605" w:type="dxa"/>
            <w:tcBorders/>
            <w:shd w:fill="CCEEFF" w:val="clear"/>
            <w:vAlign w:val="center"/>
          </w:tcPr>
          <w:p>
            <w:pPr>
              <w:pStyle w:val="TableContents"/>
              <w:bidi w:val="0"/>
              <w:spacing w:before="0" w:after="283"/>
              <w:jc w:val="left"/>
              <w:rPr>
                <w:b/>
                <w:sz w:val="20"/>
              </w:rPr>
            </w:pPr>
            <w:r>
              <w:rPr>
                <w:b/>
                <w:sz w:val="20"/>
              </w:rPr>
              <w:t>BALANCE AT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63,939,620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181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565,086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79"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47"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(401,710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163,558</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240" w:type="dxa"/>
        <w:jc w:val="left"/>
        <w:tblInd w:w="0" w:type="dxa"/>
        <w:tblLayout w:type="fixed"/>
        <w:tblCellMar>
          <w:top w:w="0" w:type="dxa"/>
          <w:left w:w="0" w:type="dxa"/>
          <w:bottom w:w="0" w:type="dxa"/>
          <w:right w:w="0" w:type="dxa"/>
        </w:tblCellMar>
      </w:tblPr>
      <w:tblGrid>
        <w:gridCol w:w="140"/>
        <w:gridCol w:w="1100"/>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than $1.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IMAGING LTD.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w:t>
      </w:r>
    </w:p>
    <w:p>
      <w:pPr>
        <w:pStyle w:val="TextBody"/>
        <w:bidi w:val="0"/>
        <w:spacing w:before="0" w:after="0"/>
        <w:ind w:left="0" w:right="0" w:hanging="0"/>
        <w:jc w:val="center"/>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7820"/>
        <w:gridCol w:w="60"/>
        <w:gridCol w:w="60"/>
        <w:gridCol w:w="650"/>
        <w:gridCol w:w="80"/>
        <w:gridCol w:w="60"/>
        <w:gridCol w:w="60"/>
        <w:gridCol w:w="650"/>
        <w:gridCol w:w="95"/>
      </w:tblGrid>
      <w:tr>
        <w:trPr/>
        <w:tc>
          <w:tcPr>
            <w:tcW w:w="7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0"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Six Months Ended</w:t>
              <w:br/>
              <w:t>June 30,</w:t>
            </w:r>
          </w:p>
        </w:tc>
        <w:tc>
          <w:tcPr>
            <w:tcW w:w="95" w:type="dxa"/>
            <w:tcBorders/>
            <w:vAlign w:val="center"/>
          </w:tcPr>
          <w:p>
            <w:pPr>
              <w:pStyle w:val="TableContents"/>
              <w:bidi w:val="0"/>
              <w:spacing w:before="0" w:after="283"/>
              <w:jc w:val="left"/>
              <w:rPr/>
            </w:pPr>
            <w:r>
              <w:rPr/>
              <w:t> </w:t>
            </w:r>
          </w:p>
        </w:tc>
      </w:tr>
      <w:tr>
        <w:trPr/>
        <w:tc>
          <w:tcPr>
            <w:tcW w:w="7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vAlign w:val="center"/>
          </w:tcPr>
          <w:p>
            <w:pPr>
              <w:pStyle w:val="TableContents"/>
              <w:bidi w:val="0"/>
              <w:spacing w:before="0" w:after="283"/>
              <w:jc w:val="left"/>
              <w:rPr/>
            </w:pPr>
            <w:r>
              <w:rPr/>
              <w:t> </w:t>
            </w:r>
          </w:p>
        </w:tc>
      </w:tr>
      <w:tr>
        <w:trPr/>
        <w:tc>
          <w:tcPr>
            <w:tcW w:w="7820" w:type="dxa"/>
            <w:tcBorders/>
            <w:vAlign w:val="center"/>
          </w:tcPr>
          <w:p>
            <w:pPr>
              <w:pStyle w:val="TableContents"/>
              <w:bidi w:val="0"/>
              <w:spacing w:before="0" w:after="283"/>
              <w:jc w:val="left"/>
              <w:rPr>
                <w:b/>
                <w:sz w:val="20"/>
              </w:rPr>
            </w:pPr>
            <w:r>
              <w:rPr>
                <w:b/>
                <w:sz w:val="20"/>
              </w:rPr>
              <w:t>CASH FLOWS FROM OPERATING ACTIVITIES:</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7820" w:type="dxa"/>
            <w:tcBorders/>
            <w:shd w:fill="CCEEFF" w:val="clear"/>
            <w:vAlign w:val="center"/>
          </w:tcPr>
          <w:p>
            <w:pPr>
              <w:pStyle w:val="TableContents"/>
              <w:bidi w:val="0"/>
              <w:spacing w:before="0" w:after="283"/>
              <w:jc w:val="left"/>
              <w:rPr>
                <w:sz w:val="20"/>
              </w:rPr>
            </w:pPr>
            <w:r>
              <w:rPr>
                <w:sz w:val="20"/>
              </w:rPr>
              <w:t>Net loss for the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(69,752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(27,961</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7820" w:type="dxa"/>
            <w:tcBorders/>
            <w:shd w:fill="FFFFFF" w:val="clear"/>
            <w:vAlign w:val="center"/>
          </w:tcPr>
          <w:p>
            <w:pPr>
              <w:pStyle w:val="TableContents"/>
              <w:bidi w:val="0"/>
              <w:spacing w:before="0" w:after="283"/>
              <w:jc w:val="left"/>
              <w:rPr>
                <w:sz w:val="20"/>
              </w:rPr>
            </w:pPr>
            <w:r>
              <w:rPr>
                <w:sz w:val="20"/>
              </w:rPr>
              <w:t>Adjustments required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20" w:type="dxa"/>
            <w:tcBorders/>
            <w:shd w:fill="CCEEFF" w:val="clear"/>
            <w:vAlign w:val="center"/>
          </w:tcPr>
          <w:p>
            <w:pPr>
              <w:pStyle w:val="TableContents"/>
              <w:bidi w:val="0"/>
              <w:spacing w:before="0" w:after="283"/>
              <w:jc w:val="left"/>
              <w:rPr/>
            </w:pPr>
            <w:r>
              <w:rPr/>
              <w:t>–</w:t>
            </w:r>
            <w:r>
              <w:rPr>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1,710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2,277</w:t>
            </w:r>
          </w:p>
        </w:tc>
        <w:tc>
          <w:tcPr>
            <w:tcW w:w="95" w:type="dxa"/>
            <w:tcBorders/>
            <w:shd w:fill="CCEEFF" w:val="clear"/>
            <w:vAlign w:val="center"/>
          </w:tcPr>
          <w:p>
            <w:pPr>
              <w:pStyle w:val="TableContents"/>
              <w:bidi w:val="0"/>
              <w:spacing w:before="0" w:after="283"/>
              <w:jc w:val="left"/>
              <w:rPr/>
            </w:pPr>
            <w:r>
              <w:rPr/>
              <w:t> </w:t>
            </w:r>
          </w:p>
        </w:tc>
      </w:tr>
      <w:tr>
        <w:trPr/>
        <w:tc>
          <w:tcPr>
            <w:tcW w:w="7820" w:type="dxa"/>
            <w:tcBorders/>
            <w:shd w:fill="FFFFFF" w:val="clear"/>
            <w:vAlign w:val="center"/>
          </w:tcPr>
          <w:p>
            <w:pPr>
              <w:pStyle w:val="TableContents"/>
              <w:bidi w:val="0"/>
              <w:spacing w:before="0" w:after="283"/>
              <w:jc w:val="left"/>
              <w:rPr>
                <w:sz w:val="20"/>
              </w:rPr>
            </w:pPr>
            <w:r>
              <w:rPr>
                <w:sz w:val="20"/>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5,009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5,306</w:t>
            </w:r>
          </w:p>
        </w:tc>
        <w:tc>
          <w:tcPr>
            <w:tcW w:w="95" w:type="dxa"/>
            <w:tcBorders/>
            <w:shd w:fill="FFFFFF" w:val="clear"/>
            <w:vAlign w:val="center"/>
          </w:tcPr>
          <w:p>
            <w:pPr>
              <w:pStyle w:val="TableContents"/>
              <w:bidi w:val="0"/>
              <w:spacing w:before="0" w:after="283"/>
              <w:jc w:val="left"/>
              <w:rPr/>
            </w:pPr>
            <w:r>
              <w:rPr/>
              <w:t> </w:t>
            </w:r>
          </w:p>
        </w:tc>
      </w:tr>
      <w:tr>
        <w:trPr/>
        <w:tc>
          <w:tcPr>
            <w:tcW w:w="7820" w:type="dxa"/>
            <w:tcBorders/>
            <w:shd w:fill="CCEEFF" w:val="clear"/>
            <w:vAlign w:val="center"/>
          </w:tcPr>
          <w:p>
            <w:pPr>
              <w:pStyle w:val="TableContents"/>
              <w:bidi w:val="0"/>
              <w:spacing w:before="0" w:after="283"/>
              <w:jc w:val="left"/>
              <w:rPr>
                <w:sz w:val="20"/>
              </w:rPr>
            </w:pPr>
            <w:r>
              <w:rPr>
                <w:sz w:val="20"/>
              </w:rPr>
              <w:t>Impairment of Intangible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40,695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7820" w:type="dxa"/>
            <w:tcBorders/>
            <w:shd w:fill="FFFFFF" w:val="clear"/>
            <w:vAlign w:val="center"/>
          </w:tcPr>
          <w:p>
            <w:pPr>
              <w:pStyle w:val="TableContents"/>
              <w:bidi w:val="0"/>
              <w:spacing w:before="0" w:after="283"/>
              <w:jc w:val="left"/>
              <w:rPr>
                <w:sz w:val="20"/>
              </w:rPr>
            </w:pPr>
            <w:r>
              <w:rPr>
                <w:sz w:val="20"/>
              </w:rPr>
              <w:t>Change in contingent earnout liability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7820" w:type="dxa"/>
            <w:tcBorders/>
            <w:shd w:fill="CCEEFF" w:val="clear"/>
            <w:vAlign w:val="center"/>
          </w:tcPr>
          <w:p>
            <w:pPr>
              <w:pStyle w:val="TableContents"/>
              <w:bidi w:val="0"/>
              <w:spacing w:before="0" w:after="283"/>
              <w:jc w:val="left"/>
              <w:rPr>
                <w:sz w:val="20"/>
              </w:rPr>
            </w:pPr>
            <w:r>
              <w:rPr>
                <w:sz w:val="20"/>
              </w:rPr>
              <w:t>Depreciation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629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586</w:t>
            </w:r>
          </w:p>
        </w:tc>
        <w:tc>
          <w:tcPr>
            <w:tcW w:w="95" w:type="dxa"/>
            <w:tcBorders/>
            <w:shd w:fill="CCEEFF" w:val="clear"/>
            <w:vAlign w:val="center"/>
          </w:tcPr>
          <w:p>
            <w:pPr>
              <w:pStyle w:val="TableContents"/>
              <w:bidi w:val="0"/>
              <w:spacing w:before="0" w:after="283"/>
              <w:jc w:val="left"/>
              <w:rPr/>
            </w:pPr>
            <w:r>
              <w:rPr/>
              <w:t> </w:t>
            </w:r>
          </w:p>
        </w:tc>
      </w:tr>
      <w:tr>
        <w:trPr/>
        <w:tc>
          <w:tcPr>
            <w:tcW w:w="7820" w:type="dxa"/>
            <w:tcBorders/>
            <w:shd w:fill="FFFFFF" w:val="clear"/>
            <w:vAlign w:val="center"/>
          </w:tcPr>
          <w:p>
            <w:pPr>
              <w:pStyle w:val="TableContents"/>
              <w:bidi w:val="0"/>
              <w:spacing w:before="0" w:after="283"/>
              <w:jc w:val="left"/>
              <w:rPr>
                <w:sz w:val="20"/>
              </w:rPr>
            </w:pPr>
            <w:r>
              <w:rPr>
                <w:sz w:val="20"/>
              </w:rPr>
              <w:t>Deferred tax liability,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(189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(188</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7820" w:type="dxa"/>
            <w:tcBorders/>
            <w:shd w:fill="CCEEFF" w:val="clear"/>
            <w:vAlign w:val="center"/>
          </w:tcPr>
          <w:p>
            <w:pPr>
              <w:pStyle w:val="TableContents"/>
              <w:bidi w:val="0"/>
              <w:spacing w:before="0" w:after="283"/>
              <w:jc w:val="left"/>
              <w:rPr>
                <w:sz w:val="20"/>
              </w:rPr>
            </w:pPr>
            <w:r>
              <w:rPr>
                <w:sz w:val="20"/>
              </w:rPr>
              <w:t>Exchange rate differentials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329</w:t>
            </w:r>
          </w:p>
        </w:tc>
        <w:tc>
          <w:tcPr>
            <w:tcW w:w="95" w:type="dxa"/>
            <w:tcBorders/>
            <w:shd w:fill="CCEEFF" w:val="clear"/>
            <w:vAlign w:val="center"/>
          </w:tcPr>
          <w:p>
            <w:pPr>
              <w:pStyle w:val="TableContents"/>
              <w:bidi w:val="0"/>
              <w:spacing w:before="0" w:after="283"/>
              <w:jc w:val="left"/>
              <w:rPr/>
            </w:pPr>
            <w:r>
              <w:rPr/>
              <w:t> </w:t>
            </w:r>
          </w:p>
        </w:tc>
      </w:tr>
      <w:tr>
        <w:trPr/>
        <w:tc>
          <w:tcPr>
            <w:tcW w:w="7820" w:type="dxa"/>
            <w:tcBorders/>
            <w:shd w:fill="FFFFFF" w:val="clear"/>
            <w:vAlign w:val="center"/>
          </w:tcPr>
          <w:p>
            <w:pPr>
              <w:pStyle w:val="TableContents"/>
              <w:bidi w:val="0"/>
              <w:spacing w:before="0" w:after="283"/>
              <w:jc w:val="left"/>
              <w:rPr>
                <w:sz w:val="20"/>
              </w:rPr>
            </w:pPr>
            <w:r>
              <w:rPr>
                <w:sz w:val="20"/>
              </w:rPr>
              <w:t>Amortization of premium, discount and accrued interest on marketable securities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64</w:t>
            </w:r>
          </w:p>
        </w:tc>
        <w:tc>
          <w:tcPr>
            <w:tcW w:w="95" w:type="dxa"/>
            <w:tcBorders/>
            <w:shd w:fill="FFFFFF" w:val="clear"/>
            <w:vAlign w:val="center"/>
          </w:tcPr>
          <w:p>
            <w:pPr>
              <w:pStyle w:val="TableContents"/>
              <w:bidi w:val="0"/>
              <w:spacing w:before="0" w:after="283"/>
              <w:jc w:val="left"/>
              <w:rPr/>
            </w:pPr>
            <w:r>
              <w:rPr/>
              <w:t> </w:t>
            </w:r>
          </w:p>
        </w:tc>
      </w:tr>
      <w:tr>
        <w:trPr/>
        <w:tc>
          <w:tcPr>
            <w:tcW w:w="7820" w:type="dxa"/>
            <w:tcBorders/>
            <w:shd w:fill="CCEEFF" w:val="clear"/>
            <w:vAlign w:val="center"/>
          </w:tcPr>
          <w:p>
            <w:pPr>
              <w:pStyle w:val="TableContents"/>
              <w:bidi w:val="0"/>
              <w:spacing w:before="0" w:after="283"/>
              <w:jc w:val="left"/>
              <w:rPr>
                <w:sz w:val="20"/>
              </w:rPr>
            </w:pPr>
            <w:r>
              <w:rPr>
                <w:sz w:val="20"/>
              </w:rPr>
              <w:t>Interest on long-term deposits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(243</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7820" w:type="dxa"/>
            <w:tcBorders/>
            <w:shd w:fill="FFFFFF" w:val="clear"/>
            <w:vAlign w:val="center"/>
          </w:tcPr>
          <w:p>
            <w:pPr>
              <w:pStyle w:val="TableContents"/>
              <w:bidi w:val="0"/>
              <w:spacing w:before="0" w:after="283"/>
              <w:jc w:val="left"/>
              <w:rPr>
                <w:sz w:val="20"/>
              </w:rPr>
            </w:pPr>
            <w:r>
              <w:rPr>
                <w:sz w:val="20"/>
              </w:rPr>
              <w:t>Interest on short-term deposits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(92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7820" w:type="dxa"/>
            <w:tcBorders/>
            <w:shd w:fill="CCEEFF" w:val="clear"/>
            <w:vAlign w:val="center"/>
          </w:tcPr>
          <w:p>
            <w:pPr>
              <w:pStyle w:val="TableContents"/>
              <w:bidi w:val="0"/>
              <w:spacing w:before="0" w:after="283"/>
              <w:jc w:val="left"/>
              <w:rPr>
                <w:sz w:val="20"/>
              </w:rPr>
            </w:pPr>
            <w:r>
              <w:rPr>
                <w:sz w:val="20"/>
              </w:rPr>
              <w:t>Loss from disposal of property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71</w:t>
            </w:r>
          </w:p>
        </w:tc>
        <w:tc>
          <w:tcPr>
            <w:tcW w:w="95" w:type="dxa"/>
            <w:tcBorders/>
            <w:shd w:fill="CCEEFF" w:val="clear"/>
            <w:vAlign w:val="center"/>
          </w:tcPr>
          <w:p>
            <w:pPr>
              <w:pStyle w:val="TableContents"/>
              <w:bidi w:val="0"/>
              <w:spacing w:before="0" w:after="283"/>
              <w:jc w:val="left"/>
              <w:rPr/>
            </w:pPr>
            <w:r>
              <w:rPr/>
              <w:t> </w:t>
            </w:r>
          </w:p>
        </w:tc>
      </w:tr>
      <w:tr>
        <w:trPr/>
        <w:tc>
          <w:tcPr>
            <w:tcW w:w="7820" w:type="dxa"/>
            <w:tcBorders/>
            <w:shd w:fill="FFFFFF" w:val="clear"/>
            <w:vAlign w:val="center"/>
          </w:tcPr>
          <w:p>
            <w:pPr>
              <w:pStyle w:val="TableContents"/>
              <w:bidi w:val="0"/>
              <w:spacing w:before="0" w:after="283"/>
              <w:jc w:val="left"/>
              <w:rPr>
                <w:sz w:val="20"/>
              </w:rPr>
            </w:pPr>
            <w:r>
              <w:rPr>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20" w:type="dxa"/>
            <w:tcBorders/>
            <w:shd w:fill="CCEEFF" w:val="clear"/>
            <w:vAlign w:val="center"/>
          </w:tcPr>
          <w:p>
            <w:pPr>
              <w:pStyle w:val="TableContents"/>
              <w:bidi w:val="0"/>
              <w:spacing w:before="0" w:after="283"/>
              <w:jc w:val="left"/>
              <w:rPr>
                <w:sz w:val="20"/>
              </w:rPr>
            </w:pPr>
            <w:r>
              <w:rPr>
                <w:sz w:val="20"/>
              </w:rPr>
              <w:t>Accounts receivable,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126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(75</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7820" w:type="dxa"/>
            <w:tcBorders/>
            <w:shd w:fill="FFFFFF" w:val="clear"/>
            <w:vAlign w:val="center"/>
          </w:tcPr>
          <w:p>
            <w:pPr>
              <w:pStyle w:val="TableContents"/>
              <w:bidi w:val="0"/>
              <w:spacing w:before="0" w:after="283"/>
              <w:jc w:val="left"/>
              <w:rPr>
                <w:sz w:val="20"/>
              </w:rPr>
            </w:pPr>
            <w:r>
              <w:rPr>
                <w:sz w:val="20"/>
              </w:rPr>
              <w:t>Change in inventories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(1,063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(63</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7820" w:type="dxa"/>
            <w:tcBorders/>
            <w:shd w:fill="CCEEFF" w:val="clear"/>
            <w:vAlign w:val="center"/>
          </w:tcPr>
          <w:p>
            <w:pPr>
              <w:pStyle w:val="TableContents"/>
              <w:bidi w:val="0"/>
              <w:spacing w:before="0" w:after="283"/>
              <w:jc w:val="left"/>
              <w:rPr>
                <w:sz w:val="20"/>
              </w:rPr>
            </w:pPr>
            <w:r>
              <w:rPr>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(558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776</w:t>
            </w:r>
          </w:p>
        </w:tc>
        <w:tc>
          <w:tcPr>
            <w:tcW w:w="95" w:type="dxa"/>
            <w:tcBorders/>
            <w:shd w:fill="CCEEFF" w:val="clear"/>
            <w:vAlign w:val="center"/>
          </w:tcPr>
          <w:p>
            <w:pPr>
              <w:pStyle w:val="TableContents"/>
              <w:bidi w:val="0"/>
              <w:spacing w:before="0" w:after="283"/>
              <w:jc w:val="left"/>
              <w:rPr/>
            </w:pPr>
            <w:r>
              <w:rPr/>
              <w:t> </w:t>
            </w:r>
          </w:p>
        </w:tc>
      </w:tr>
      <w:tr>
        <w:trPr/>
        <w:tc>
          <w:tcPr>
            <w:tcW w:w="7820" w:type="dxa"/>
            <w:tcBorders/>
            <w:shd w:fill="FFFFFF" w:val="clear"/>
            <w:vAlign w:val="center"/>
          </w:tcPr>
          <w:p>
            <w:pPr>
              <w:pStyle w:val="TableContents"/>
              <w:bidi w:val="0"/>
              <w:spacing w:before="0" w:after="283"/>
              <w:jc w:val="left"/>
              <w:rPr>
                <w:sz w:val="20"/>
              </w:rPr>
            </w:pPr>
            <w:r>
              <w:rPr>
                <w:sz w:val="20"/>
              </w:rPr>
              <w:t>Other 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142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30</w:t>
            </w:r>
          </w:p>
        </w:tc>
        <w:tc>
          <w:tcPr>
            <w:tcW w:w="95" w:type="dxa"/>
            <w:tcBorders/>
            <w:shd w:fill="FFFFFF" w:val="clear"/>
            <w:vAlign w:val="center"/>
          </w:tcPr>
          <w:p>
            <w:pPr>
              <w:pStyle w:val="TableContents"/>
              <w:bidi w:val="0"/>
              <w:spacing w:before="0" w:after="283"/>
              <w:jc w:val="left"/>
              <w:rPr/>
            </w:pPr>
            <w:r>
              <w:rPr/>
              <w:t> </w:t>
            </w:r>
          </w:p>
        </w:tc>
      </w:tr>
      <w:tr>
        <w:trPr/>
        <w:tc>
          <w:tcPr>
            <w:tcW w:w="7820" w:type="dxa"/>
            <w:tcBorders/>
            <w:shd w:fill="CCEEFF" w:val="clear"/>
            <w:vAlign w:val="center"/>
          </w:tcPr>
          <w:p>
            <w:pPr>
              <w:pStyle w:val="TableContents"/>
              <w:bidi w:val="0"/>
              <w:spacing w:before="0" w:after="283"/>
              <w:jc w:val="left"/>
              <w:rPr>
                <w:sz w:val="20"/>
              </w:rPr>
            </w:pPr>
            <w:r>
              <w:rPr>
                <w:sz w:val="20"/>
              </w:rPr>
              <w:t>Accounts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(748</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(322</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7820" w:type="dxa"/>
            <w:tcBorders/>
            <w:shd w:fill="FFFFFF" w:val="clear"/>
            <w:vAlign w:val="center"/>
          </w:tcPr>
          <w:p>
            <w:pPr>
              <w:pStyle w:val="TableContents"/>
              <w:bidi w:val="0"/>
              <w:spacing w:before="0" w:after="283"/>
              <w:jc w:val="left"/>
              <w:rPr>
                <w:sz w:val="20"/>
              </w:rPr>
            </w:pPr>
            <w:r>
              <w:rPr>
                <w:sz w:val="20"/>
              </w:rPr>
              <w:t>Accrued expenses and other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(1,516</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(840</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7820" w:type="dxa"/>
            <w:tcBorders/>
            <w:shd w:fill="CCEEFF" w:val="clear"/>
            <w:vAlign w:val="center"/>
          </w:tcPr>
          <w:p>
            <w:pPr>
              <w:pStyle w:val="TableContents"/>
              <w:bidi w:val="0"/>
              <w:spacing w:before="0" w:after="283"/>
              <w:jc w:val="left"/>
              <w:rPr>
                <w:sz w:val="20"/>
              </w:rPr>
            </w:pPr>
            <w:r>
              <w:rPr>
                <w:sz w:val="20"/>
              </w:rPr>
              <w:t>Operating lease assets and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300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381</w:t>
            </w:r>
          </w:p>
        </w:tc>
        <w:tc>
          <w:tcPr>
            <w:tcW w:w="95" w:type="dxa"/>
            <w:tcBorders/>
            <w:shd w:fill="CCEEFF" w:val="clear"/>
            <w:vAlign w:val="center"/>
          </w:tcPr>
          <w:p>
            <w:pPr>
              <w:pStyle w:val="TableContents"/>
              <w:bidi w:val="0"/>
              <w:spacing w:before="0" w:after="283"/>
              <w:jc w:val="left"/>
              <w:rPr/>
            </w:pPr>
            <w:r>
              <w:rPr/>
              <w:t> </w:t>
            </w:r>
          </w:p>
        </w:tc>
      </w:tr>
      <w:tr>
        <w:trPr/>
        <w:tc>
          <w:tcPr>
            <w:tcW w:w="7820" w:type="dxa"/>
            <w:tcBorders/>
            <w:shd w:fill="FFFFFF" w:val="clear"/>
            <w:vAlign w:val="center"/>
          </w:tcPr>
          <w:p>
            <w:pPr>
              <w:pStyle w:val="TableContents"/>
              <w:bidi w:val="0"/>
              <w:spacing w:before="0" w:after="283"/>
              <w:jc w:val="left"/>
              <w:rPr>
                <w:sz w:val="20"/>
              </w:rPr>
            </w:pPr>
            <w:r>
              <w:rPr>
                <w:sz w:val="20"/>
              </w:rPr>
              <w:t>Deferred Revenue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84</w:t>
            </w:r>
          </w:p>
        </w:tc>
        <w:tc>
          <w:tcPr>
            <w:tcW w:w="95" w:type="dxa"/>
            <w:tcBorders/>
            <w:shd w:fill="FFFFFF" w:val="clear"/>
            <w:vAlign w:val="center"/>
          </w:tcPr>
          <w:p>
            <w:pPr>
              <w:pStyle w:val="TableContents"/>
              <w:bidi w:val="0"/>
              <w:spacing w:before="0" w:after="283"/>
              <w:jc w:val="left"/>
              <w:rPr/>
            </w:pPr>
            <w:r>
              <w:rPr/>
              <w:t> </w:t>
            </w:r>
          </w:p>
        </w:tc>
      </w:tr>
      <w:tr>
        <w:trPr/>
        <w:tc>
          <w:tcPr>
            <w:tcW w:w="7820" w:type="dxa"/>
            <w:tcBorders/>
            <w:shd w:fill="CCEEFF" w:val="clear"/>
            <w:vAlign w:val="center"/>
          </w:tcPr>
          <w:p>
            <w:pPr>
              <w:pStyle w:val="TableContents"/>
              <w:bidi w:val="0"/>
              <w:spacing w:before="0" w:after="283"/>
              <w:jc w:val="left"/>
              <w:rPr>
                <w:sz w:val="20"/>
              </w:rPr>
            </w:pPr>
            <w:r>
              <w:rPr>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(317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150</w:t>
            </w:r>
          </w:p>
        </w:tc>
        <w:tc>
          <w:tcPr>
            <w:tcW w:w="95" w:type="dxa"/>
            <w:tcBorders/>
            <w:shd w:fill="CCEEFF" w:val="clear"/>
            <w:vAlign w:val="center"/>
          </w:tcPr>
          <w:p>
            <w:pPr>
              <w:pStyle w:val="TableContents"/>
              <w:bidi w:val="0"/>
              <w:spacing w:before="0" w:after="283"/>
              <w:jc w:val="left"/>
              <w:rPr/>
            </w:pPr>
            <w:r>
              <w:rPr/>
              <w:t> </w:t>
            </w:r>
          </w:p>
        </w:tc>
      </w:tr>
      <w:tr>
        <w:trPr/>
        <w:tc>
          <w:tcPr>
            <w:tcW w:w="7820" w:type="dxa"/>
            <w:tcBorders/>
            <w:shd w:fill="FFFFFF" w:val="clear"/>
            <w:vAlign w:val="center"/>
          </w:tcPr>
          <w:p>
            <w:pPr>
              <w:pStyle w:val="TableContents"/>
              <w:bidi w:val="0"/>
              <w:spacing w:before="0" w:after="283"/>
              <w:jc w:val="left"/>
              <w:rPr>
                <w:sz w:val="20"/>
              </w:rPr>
            </w:pPr>
            <w:r>
              <w:rPr>
                <w:sz w:val="20"/>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(25,548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(19,638</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78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20" w:type="dxa"/>
            <w:tcBorders/>
            <w:shd w:fill="FFFFFF" w:val="clear"/>
            <w:vAlign w:val="center"/>
          </w:tcPr>
          <w:p>
            <w:pPr>
              <w:pStyle w:val="TableContents"/>
              <w:bidi w:val="0"/>
              <w:spacing w:before="0" w:after="283"/>
              <w:jc w:val="left"/>
              <w:rPr>
                <w:b/>
                <w:sz w:val="20"/>
              </w:rPr>
            </w:pPr>
            <w:r>
              <w:rPr>
                <w:b/>
                <w:sz w:val="20"/>
              </w:rPr>
              <w:t>CASH FLOWS PROVIDED BY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20" w:type="dxa"/>
            <w:tcBorders/>
            <w:shd w:fill="CCEEFF" w:val="clear"/>
            <w:vAlign w:val="center"/>
          </w:tcPr>
          <w:p>
            <w:pPr>
              <w:pStyle w:val="TableContents"/>
              <w:bidi w:val="0"/>
              <w:spacing w:before="0" w:after="283"/>
              <w:jc w:val="left"/>
              <w:rPr>
                <w:sz w:val="20"/>
              </w:rPr>
            </w:pPr>
            <w:r>
              <w:rPr>
                <w:sz w:val="20"/>
              </w:rPr>
              <w:t>Proceeds from maturity of marketable securities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16,295</w:t>
            </w:r>
          </w:p>
        </w:tc>
        <w:tc>
          <w:tcPr>
            <w:tcW w:w="95" w:type="dxa"/>
            <w:tcBorders/>
            <w:shd w:fill="CCEEFF" w:val="clear"/>
            <w:vAlign w:val="center"/>
          </w:tcPr>
          <w:p>
            <w:pPr>
              <w:pStyle w:val="TableContents"/>
              <w:bidi w:val="0"/>
              <w:spacing w:before="0" w:after="283"/>
              <w:jc w:val="left"/>
              <w:rPr/>
            </w:pPr>
            <w:r>
              <w:rPr/>
              <w:t> </w:t>
            </w:r>
          </w:p>
        </w:tc>
      </w:tr>
      <w:tr>
        <w:trPr/>
        <w:tc>
          <w:tcPr>
            <w:tcW w:w="7820" w:type="dxa"/>
            <w:tcBorders/>
            <w:shd w:fill="FFFFFF" w:val="clear"/>
            <w:vAlign w:val="center"/>
          </w:tcPr>
          <w:p>
            <w:pPr>
              <w:pStyle w:val="TableContents"/>
              <w:bidi w:val="0"/>
              <w:spacing w:before="0" w:after="283"/>
              <w:jc w:val="left"/>
              <w:rPr>
                <w:sz w:val="20"/>
              </w:rPr>
            </w:pPr>
            <w:r>
              <w:rPr>
                <w:sz w:val="20"/>
              </w:rPr>
              <w:t>Maturity of short-term deposits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10,551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15,500</w:t>
            </w:r>
          </w:p>
        </w:tc>
        <w:tc>
          <w:tcPr>
            <w:tcW w:w="95" w:type="dxa"/>
            <w:tcBorders/>
            <w:shd w:fill="FFFFFF" w:val="clear"/>
            <w:vAlign w:val="center"/>
          </w:tcPr>
          <w:p>
            <w:pPr>
              <w:pStyle w:val="TableContents"/>
              <w:bidi w:val="0"/>
              <w:spacing w:before="0" w:after="283"/>
              <w:jc w:val="left"/>
              <w:rPr/>
            </w:pPr>
            <w:r>
              <w:rPr/>
              <w:t> </w:t>
            </w:r>
          </w:p>
        </w:tc>
      </w:tr>
      <w:tr>
        <w:trPr/>
        <w:tc>
          <w:tcPr>
            <w:tcW w:w="7820" w:type="dxa"/>
            <w:tcBorders/>
            <w:shd w:fill="CCEEFF" w:val="clear"/>
            <w:vAlign w:val="center"/>
          </w:tcPr>
          <w:p>
            <w:pPr>
              <w:pStyle w:val="TableContents"/>
              <w:bidi w:val="0"/>
              <w:spacing w:before="0" w:after="283"/>
              <w:jc w:val="left"/>
              <w:rPr>
                <w:sz w:val="20"/>
              </w:rPr>
            </w:pPr>
            <w:r>
              <w:rPr>
                <w:sz w:val="20"/>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(2,761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(1,579</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7820" w:type="dxa"/>
            <w:tcBorders/>
            <w:shd w:fill="FFFFFF" w:val="clear"/>
            <w:vAlign w:val="center"/>
          </w:tcPr>
          <w:p>
            <w:pPr>
              <w:pStyle w:val="TableContents"/>
              <w:bidi w:val="0"/>
              <w:spacing w:before="0" w:after="283"/>
              <w:jc w:val="left"/>
              <w:rPr>
                <w:sz w:val="20"/>
              </w:rPr>
            </w:pPr>
            <w:r>
              <w:rPr>
                <w:sz w:val="20"/>
              </w:rPr>
              <w:t>Net cash provided by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7,790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30,216</w:t>
            </w:r>
          </w:p>
        </w:tc>
        <w:tc>
          <w:tcPr>
            <w:tcW w:w="95" w:type="dxa"/>
            <w:tcBorders/>
            <w:shd w:fill="FFFFFF" w:val="clear"/>
            <w:vAlign w:val="center"/>
          </w:tcPr>
          <w:p>
            <w:pPr>
              <w:pStyle w:val="TableContents"/>
              <w:bidi w:val="0"/>
              <w:spacing w:before="0" w:after="283"/>
              <w:jc w:val="left"/>
              <w:rPr/>
            </w:pPr>
            <w:r>
              <w:rPr/>
              <w:t> </w:t>
            </w:r>
          </w:p>
        </w:tc>
      </w:tr>
      <w:tr>
        <w:trPr/>
        <w:tc>
          <w:tcPr>
            <w:tcW w:w="78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20" w:type="dxa"/>
            <w:tcBorders/>
            <w:shd w:fill="FFFFFF" w:val="clear"/>
            <w:vAlign w:val="center"/>
          </w:tcPr>
          <w:p>
            <w:pPr>
              <w:pStyle w:val="TableContents"/>
              <w:bidi w:val="0"/>
              <w:spacing w:before="0" w:after="283"/>
              <w:jc w:val="left"/>
              <w:rPr>
                <w:b/>
                <w:sz w:val="20"/>
              </w:rPr>
            </w:pPr>
            <w:r>
              <w:rPr>
                <w:b/>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20" w:type="dxa"/>
            <w:tcBorders/>
            <w:shd w:fill="CCEEFF" w:val="clear"/>
            <w:vAlign w:val="center"/>
          </w:tcPr>
          <w:p>
            <w:pPr>
              <w:pStyle w:val="TableContents"/>
              <w:bidi w:val="0"/>
              <w:spacing w:before="0" w:after="283"/>
              <w:jc w:val="left"/>
              <w:rPr>
                <w:sz w:val="20"/>
              </w:rPr>
            </w:pPr>
            <w:r>
              <w:rPr>
                <w:sz w:val="20"/>
              </w:rPr>
              <w:t>Payment due to settlement of contingent earnout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(127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7820" w:type="dxa"/>
            <w:tcBorders/>
            <w:shd w:fill="FFFFFF" w:val="clear"/>
            <w:vAlign w:val="center"/>
          </w:tcPr>
          <w:p>
            <w:pPr>
              <w:pStyle w:val="TableContents"/>
              <w:bidi w:val="0"/>
              <w:spacing w:before="0" w:after="283"/>
              <w:jc w:val="left"/>
              <w:rPr>
                <w:sz w:val="20"/>
              </w:rPr>
            </w:pPr>
            <w:r>
              <w:rPr>
                <w:sz w:val="20"/>
              </w:rPr>
              <w:t>Proceeds from issuance of ordinary shares upon exercise of options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121</w:t>
            </w:r>
          </w:p>
        </w:tc>
        <w:tc>
          <w:tcPr>
            <w:tcW w:w="95" w:type="dxa"/>
            <w:tcBorders/>
            <w:shd w:fill="FFFFFF" w:val="clear"/>
            <w:vAlign w:val="center"/>
          </w:tcPr>
          <w:p>
            <w:pPr>
              <w:pStyle w:val="TableContents"/>
              <w:bidi w:val="0"/>
              <w:spacing w:before="0" w:after="283"/>
              <w:jc w:val="left"/>
              <w:rPr/>
            </w:pPr>
            <w:r>
              <w:rPr/>
              <w:t> </w:t>
            </w:r>
          </w:p>
        </w:tc>
      </w:tr>
      <w:tr>
        <w:trPr/>
        <w:tc>
          <w:tcPr>
            <w:tcW w:w="7820" w:type="dxa"/>
            <w:tcBorders/>
            <w:shd w:fill="CCEEFF" w:val="clear"/>
            <w:vAlign w:val="center"/>
          </w:tcPr>
          <w:p>
            <w:pPr>
              <w:pStyle w:val="TableContents"/>
              <w:bidi w:val="0"/>
              <w:spacing w:before="0" w:after="283"/>
              <w:jc w:val="left"/>
              <w:rPr>
                <w:sz w:val="20"/>
              </w:rPr>
            </w:pPr>
            <w:r>
              <w:rPr>
                <w:sz w:val="20"/>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(127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121</w:t>
            </w:r>
          </w:p>
        </w:tc>
        <w:tc>
          <w:tcPr>
            <w:tcW w:w="95" w:type="dxa"/>
            <w:tcBorders/>
            <w:shd w:fill="CCEEFF" w:val="clear"/>
            <w:vAlign w:val="center"/>
          </w:tcPr>
          <w:p>
            <w:pPr>
              <w:pStyle w:val="TableContents"/>
              <w:bidi w:val="0"/>
              <w:spacing w:before="0" w:after="283"/>
              <w:jc w:val="left"/>
              <w:rPr/>
            </w:pPr>
            <w:r>
              <w:rPr/>
              <w:t> </w:t>
            </w:r>
          </w:p>
        </w:tc>
      </w:tr>
      <w:tr>
        <w:trPr/>
        <w:tc>
          <w:tcPr>
            <w:tcW w:w="7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20" w:type="dxa"/>
            <w:tcBorders/>
            <w:shd w:fill="CCEEFF" w:val="clear"/>
            <w:vAlign w:val="center"/>
          </w:tcPr>
          <w:p>
            <w:pPr>
              <w:pStyle w:val="TableContents"/>
              <w:bidi w:val="0"/>
              <w:spacing w:before="0" w:after="283"/>
              <w:jc w:val="left"/>
              <w:rPr>
                <w:b/>
                <w:sz w:val="20"/>
              </w:rPr>
            </w:pPr>
            <w:r>
              <w:rPr>
                <w:b/>
                <w:sz w:val="20"/>
              </w:rPr>
              <w:t>EFFECT OF CHANGES IN EXCHANGE RATES ON 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(243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(99</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7820" w:type="dxa"/>
            <w:tcBorders/>
            <w:shd w:fill="FFFFFF" w:val="clear"/>
            <w:vAlign w:val="center"/>
          </w:tcPr>
          <w:p>
            <w:pPr>
              <w:pStyle w:val="TableContents"/>
              <w:bidi w:val="0"/>
              <w:spacing w:before="0" w:after="283"/>
              <w:jc w:val="left"/>
              <w:rPr>
                <w:b/>
                <w:sz w:val="20"/>
              </w:rPr>
            </w:pPr>
            <w:r>
              <w:rPr>
                <w:b/>
                <w:sz w:val="20"/>
              </w:rPr>
              <w:t>NET CHANGE IN 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(18,128</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10,600</w:t>
            </w:r>
          </w:p>
        </w:tc>
        <w:tc>
          <w:tcPr>
            <w:tcW w:w="95" w:type="dxa"/>
            <w:tcBorders/>
            <w:shd w:fill="FFFFFF" w:val="clear"/>
            <w:vAlign w:val="center"/>
          </w:tcPr>
          <w:p>
            <w:pPr>
              <w:pStyle w:val="TableContents"/>
              <w:bidi w:val="0"/>
              <w:spacing w:before="0" w:after="283"/>
              <w:jc w:val="left"/>
              <w:rPr/>
            </w:pPr>
            <w:r>
              <w:rPr/>
              <w:t> </w:t>
            </w:r>
          </w:p>
        </w:tc>
      </w:tr>
      <w:tr>
        <w:trPr/>
        <w:tc>
          <w:tcPr>
            <w:tcW w:w="7820" w:type="dxa"/>
            <w:tcBorders/>
            <w:shd w:fill="CCEEFF" w:val="clear"/>
            <w:vAlign w:val="center"/>
          </w:tcPr>
          <w:p>
            <w:pPr>
              <w:pStyle w:val="TableContents"/>
              <w:bidi w:val="0"/>
              <w:spacing w:before="0" w:after="283"/>
              <w:jc w:val="left"/>
              <w:rPr>
                <w:b/>
                <w:sz w:val="20"/>
              </w:rPr>
            </w:pPr>
            <w:r>
              <w:rPr>
                <w:b/>
                <w:sz w:val="20"/>
              </w:rPr>
              <w:t>CASH AND CASH EQUIVALENTS AT BEGINNING OF THE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49,151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39,304</w:t>
            </w:r>
          </w:p>
        </w:tc>
        <w:tc>
          <w:tcPr>
            <w:tcW w:w="95" w:type="dxa"/>
            <w:tcBorders/>
            <w:shd w:fill="CCEEFF" w:val="clear"/>
            <w:vAlign w:val="center"/>
          </w:tcPr>
          <w:p>
            <w:pPr>
              <w:pStyle w:val="TableContents"/>
              <w:bidi w:val="0"/>
              <w:spacing w:before="0" w:after="283"/>
              <w:jc w:val="left"/>
              <w:rPr/>
            </w:pPr>
            <w:r>
              <w:rPr/>
              <w:t> </w:t>
            </w:r>
          </w:p>
        </w:tc>
      </w:tr>
      <w:tr>
        <w:trPr/>
        <w:tc>
          <w:tcPr>
            <w:tcW w:w="7820" w:type="dxa"/>
            <w:tcBorders/>
            <w:shd w:fill="FFFFFF" w:val="clear"/>
            <w:vAlign w:val="center"/>
          </w:tcPr>
          <w:p>
            <w:pPr>
              <w:pStyle w:val="TableContents"/>
              <w:bidi w:val="0"/>
              <w:spacing w:before="0" w:after="283"/>
              <w:jc w:val="left"/>
              <w:rPr>
                <w:b/>
                <w:sz w:val="20"/>
              </w:rPr>
            </w:pPr>
            <w:r>
              <w:rPr>
                <w:b/>
                <w:sz w:val="20"/>
              </w:rPr>
              <w:t>CASH AND CASH EQUIVALENTS AT END OF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double" w:sz="10" w:space="0" w:color="000000"/>
            </w:tcBorders>
            <w:shd w:fill="FFFFFF" w:val="clear"/>
            <w:tcMar>
              <w:bottom w:w="28" w:type="dxa"/>
            </w:tcMar>
            <w:vAlign w:val="center"/>
          </w:tcPr>
          <w:p>
            <w:pPr>
              <w:pStyle w:val="TableContents"/>
              <w:bidi w:val="0"/>
              <w:spacing w:before="0" w:after="283"/>
              <w:jc w:val="right"/>
              <w:rPr>
                <w:sz w:val="20"/>
              </w:rPr>
            </w:pPr>
            <w:r>
              <w:rPr>
                <w:sz w:val="20"/>
              </w:rPr>
              <w:t>31,023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double" w:sz="10" w:space="0" w:color="000000"/>
            </w:tcBorders>
            <w:shd w:fill="FFFFFF" w:val="clear"/>
            <w:tcMar>
              <w:bottom w:w="28" w:type="dxa"/>
            </w:tcMar>
            <w:vAlign w:val="center"/>
          </w:tcPr>
          <w:p>
            <w:pPr>
              <w:pStyle w:val="TableContents"/>
              <w:bidi w:val="0"/>
              <w:spacing w:before="0" w:after="283"/>
              <w:jc w:val="right"/>
              <w:rPr>
                <w:sz w:val="20"/>
              </w:rPr>
            </w:pPr>
            <w:r>
              <w:rPr>
                <w:sz w:val="20"/>
              </w:rPr>
              <w:t>49,904</w:t>
            </w:r>
          </w:p>
        </w:tc>
        <w:tc>
          <w:tcPr>
            <w:tcW w:w="95" w:type="dxa"/>
            <w:tcBorders/>
            <w:shd w:fill="FFFFFF" w:val="clear"/>
            <w:vAlign w:val="center"/>
          </w:tcPr>
          <w:p>
            <w:pPr>
              <w:pStyle w:val="TableContents"/>
              <w:bidi w:val="0"/>
              <w:spacing w:before="0" w:after="283"/>
              <w:jc w:val="left"/>
              <w:rPr/>
            </w:pPr>
            <w:r>
              <w:rPr/>
              <w:t> </w:t>
            </w:r>
          </w:p>
        </w:tc>
      </w:tr>
      <w:tr>
        <w:trPr/>
        <w:tc>
          <w:tcPr>
            <w:tcW w:w="78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20" w:type="dxa"/>
            <w:tcBorders/>
            <w:shd w:fill="FFFFFF" w:val="clear"/>
            <w:vAlign w:val="center"/>
          </w:tcPr>
          <w:p>
            <w:pPr>
              <w:pStyle w:val="TableContents"/>
              <w:bidi w:val="0"/>
              <w:spacing w:before="0" w:after="283"/>
              <w:jc w:val="left"/>
              <w:rPr>
                <w:b/>
                <w:sz w:val="20"/>
              </w:rPr>
            </w:pPr>
            <w:r>
              <w:rPr>
                <w:b/>
                <w:sz w:val="20"/>
              </w:rPr>
              <w:t>SUPPLEMENTARY INFORMATION ON ACTIVITIES INVOLVING CASH FLOWS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20" w:type="dxa"/>
            <w:tcBorders/>
            <w:shd w:fill="CCEEFF" w:val="clear"/>
            <w:vAlign w:val="center"/>
          </w:tcPr>
          <w:p>
            <w:pPr>
              <w:pStyle w:val="TableContents"/>
              <w:bidi w:val="0"/>
              <w:spacing w:before="0" w:after="283"/>
              <w:jc w:val="left"/>
              <w:rPr>
                <w:sz w:val="20"/>
              </w:rPr>
            </w:pPr>
            <w:r>
              <w:rPr>
                <w:sz w:val="20"/>
              </w:rPr>
              <w:t>Cash paid for interest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68</w:t>
            </w:r>
          </w:p>
        </w:tc>
        <w:tc>
          <w:tcPr>
            <w:tcW w:w="95" w:type="dxa"/>
            <w:tcBorders/>
            <w:shd w:fill="CCEEFF" w:val="clear"/>
            <w:vAlign w:val="center"/>
          </w:tcPr>
          <w:p>
            <w:pPr>
              <w:pStyle w:val="TableContents"/>
              <w:bidi w:val="0"/>
              <w:spacing w:before="0" w:after="283"/>
              <w:jc w:val="left"/>
              <w:rPr/>
            </w:pPr>
            <w:r>
              <w:rPr/>
              <w:t> </w:t>
            </w:r>
          </w:p>
        </w:tc>
      </w:tr>
      <w:tr>
        <w:trPr/>
        <w:tc>
          <w:tcPr>
            <w:tcW w:w="7820" w:type="dxa"/>
            <w:tcBorders/>
            <w:shd w:fill="FFFFFF" w:val="clear"/>
            <w:vAlign w:val="center"/>
          </w:tcPr>
          <w:p>
            <w:pPr>
              <w:pStyle w:val="TableContents"/>
              <w:bidi w:val="0"/>
              <w:spacing w:before="0" w:after="283"/>
              <w:jc w:val="left"/>
              <w:rPr>
                <w:sz w:val="20"/>
              </w:rPr>
            </w:pPr>
            <w:r>
              <w:rPr>
                <w:sz w:val="20"/>
              </w:rPr>
              <w:t>Cash paid for income taxes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double" w:sz="10" w:space="0" w:color="000000"/>
            </w:tcBorders>
            <w:shd w:fill="FFFFFF" w:val="clear"/>
            <w:tcMar>
              <w:bottom w:w="28" w:type="dxa"/>
            </w:tcMar>
            <w:vAlign w:val="center"/>
          </w:tcPr>
          <w:p>
            <w:pPr>
              <w:pStyle w:val="TableContents"/>
              <w:bidi w:val="0"/>
              <w:spacing w:before="0" w:after="283"/>
              <w:jc w:val="right"/>
              <w:rPr>
                <w:sz w:val="20"/>
              </w:rPr>
            </w:pPr>
            <w:r>
              <w:rPr>
                <w:sz w:val="20"/>
              </w:rPr>
              <w:t>170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double" w:sz="10" w:space="0" w:color="000000"/>
            </w:tcBorders>
            <w:shd w:fill="FFFFFF" w:val="clear"/>
            <w:tcMar>
              <w:bottom w:w="28" w:type="dxa"/>
            </w:tcMar>
            <w:vAlign w:val="center"/>
          </w:tcPr>
          <w:p>
            <w:pPr>
              <w:pStyle w:val="TableContents"/>
              <w:bidi w:val="0"/>
              <w:spacing w:before="0" w:after="283"/>
              <w:jc w:val="right"/>
              <w:rPr>
                <w:sz w:val="20"/>
              </w:rPr>
            </w:pPr>
            <w:r>
              <w:rPr>
                <w:sz w:val="20"/>
              </w:rPr>
              <w:t>184</w:t>
            </w:r>
          </w:p>
        </w:tc>
        <w:tc>
          <w:tcPr>
            <w:tcW w:w="95" w:type="dxa"/>
            <w:tcBorders/>
            <w:shd w:fill="FFFFFF" w:val="clear"/>
            <w:vAlign w:val="center"/>
          </w:tcPr>
          <w:p>
            <w:pPr>
              <w:pStyle w:val="TableContents"/>
              <w:bidi w:val="0"/>
              <w:spacing w:before="0" w:after="283"/>
              <w:jc w:val="left"/>
              <w:rPr/>
            </w:pPr>
            <w:r>
              <w:rPr/>
              <w:t> </w:t>
            </w:r>
          </w:p>
        </w:tc>
      </w:tr>
      <w:tr>
        <w:trPr/>
        <w:tc>
          <w:tcPr>
            <w:tcW w:w="7820" w:type="dxa"/>
            <w:tcBorders/>
            <w:shd w:fill="CCEEFF" w:val="clear"/>
            <w:vAlign w:val="center"/>
          </w:tcPr>
          <w:p>
            <w:pPr>
              <w:pStyle w:val="TableContents"/>
              <w:bidi w:val="0"/>
              <w:spacing w:before="0" w:after="283"/>
              <w:jc w:val="left"/>
              <w:rPr>
                <w:b/>
                <w:sz w:val="20"/>
              </w:rPr>
            </w:pPr>
            <w:r>
              <w:rPr>
                <w:b/>
                <w:sz w:val="20"/>
              </w:rPr>
              <w:t>SUPPLEMENTARY INFORMATION ON ACTIVITIES NOT INVOLVING CASH FLOWS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20" w:type="dxa"/>
            <w:tcBorders/>
            <w:shd w:fill="FFFFFF" w:val="clear"/>
            <w:vAlign w:val="center"/>
          </w:tcPr>
          <w:p>
            <w:pPr>
              <w:pStyle w:val="TableContents"/>
              <w:bidi w:val="0"/>
              <w:spacing w:before="0" w:after="283"/>
              <w:jc w:val="left"/>
              <w:rPr>
                <w:sz w:val="20"/>
              </w:rPr>
            </w:pPr>
            <w:r>
              <w:rPr>
                <w:sz w:val="20"/>
              </w:rPr>
              <w:t>Non-cash purchase of property and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374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398</w:t>
            </w:r>
          </w:p>
        </w:tc>
        <w:tc>
          <w:tcPr>
            <w:tcW w:w="95" w:type="dxa"/>
            <w:tcBorders/>
            <w:shd w:fill="FFFFFF" w:val="clear"/>
            <w:vAlign w:val="center"/>
          </w:tcPr>
          <w:p>
            <w:pPr>
              <w:pStyle w:val="TableContents"/>
              <w:bidi w:val="0"/>
              <w:spacing w:before="0" w:after="283"/>
              <w:jc w:val="left"/>
              <w:rPr/>
            </w:pPr>
            <w:r>
              <w:rPr/>
              <w:t> </w:t>
            </w:r>
          </w:p>
        </w:tc>
      </w:tr>
      <w:tr>
        <w:trPr/>
        <w:tc>
          <w:tcPr>
            <w:tcW w:w="7820" w:type="dxa"/>
            <w:tcBorders/>
            <w:shd w:fill="CCEEFF" w:val="clear"/>
            <w:vAlign w:val="center"/>
          </w:tcPr>
          <w:p>
            <w:pPr>
              <w:pStyle w:val="TableContents"/>
              <w:bidi w:val="0"/>
              <w:spacing w:before="0" w:after="283"/>
              <w:jc w:val="left"/>
              <w:rPr>
                <w:sz w:val="20"/>
              </w:rPr>
            </w:pPr>
            <w:r>
              <w:rPr>
                <w:sz w:val="20"/>
              </w:rPr>
              <w:t>Issuance of ordinary shares per settlement with a shareholder</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778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7820" w:type="dxa"/>
            <w:tcBorders/>
            <w:shd w:fill="FFFFFF" w:val="clear"/>
            <w:vAlign w:val="center"/>
          </w:tcPr>
          <w:p>
            <w:pPr>
              <w:pStyle w:val="TableContents"/>
              <w:bidi w:val="0"/>
              <w:spacing w:before="0" w:after="283"/>
              <w:jc w:val="left"/>
              <w:rPr>
                <w:sz w:val="20"/>
              </w:rPr>
            </w:pPr>
            <w:r>
              <w:rPr>
                <w:sz w:val="20"/>
              </w:rPr>
              <w:t>Operating lease liabilities arising from obtaining operating right-of use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double" w:sz="10" w:space="0" w:color="000000"/>
            </w:tcBorders>
            <w:shd w:fill="FFFFFF" w:val="clear"/>
            <w:tcMar>
              <w:bottom w:w="28" w:type="dxa"/>
            </w:tcMar>
            <w:vAlign w:val="center"/>
          </w:tcPr>
          <w:p>
            <w:pPr>
              <w:pStyle w:val="TableContents"/>
              <w:bidi w:val="0"/>
              <w:spacing w:before="0" w:after="283"/>
              <w:jc w:val="right"/>
              <w:rPr>
                <w:sz w:val="20"/>
              </w:rPr>
            </w:pPr>
            <w:r>
              <w:rPr>
                <w:sz w:val="20"/>
              </w:rPr>
              <w:t>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double" w:sz="10" w:space="0" w:color="000000"/>
            </w:tcBorders>
            <w:shd w:fill="FFFFFF" w:val="clear"/>
            <w:tcMar>
              <w:bottom w:w="28" w:type="dxa"/>
            </w:tcMar>
            <w:vAlign w:val="center"/>
          </w:tcPr>
          <w:p>
            <w:pPr>
              <w:pStyle w:val="TableContents"/>
              <w:bidi w:val="0"/>
              <w:spacing w:before="0" w:after="283"/>
              <w:jc w:val="right"/>
              <w:rPr>
                <w:sz w:val="20"/>
              </w:rPr>
            </w:pPr>
            <w:r>
              <w:rPr>
                <w:sz w:val="20"/>
              </w:rPr>
              <w:t>93</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GAAP-NON-GAAP RECONCILIATION TABLES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04"/>
        <w:gridCol w:w="60"/>
        <w:gridCol w:w="61"/>
        <w:gridCol w:w="702"/>
        <w:gridCol w:w="283"/>
        <w:gridCol w:w="61"/>
        <w:gridCol w:w="61"/>
        <w:gridCol w:w="702"/>
        <w:gridCol w:w="274"/>
        <w:gridCol w:w="60"/>
        <w:gridCol w:w="74"/>
        <w:gridCol w:w="798"/>
        <w:gridCol w:w="348"/>
        <w:gridCol w:w="74"/>
        <w:gridCol w:w="74"/>
        <w:gridCol w:w="704"/>
        <w:gridCol w:w="265"/>
      </w:tblGrid>
      <w:tr>
        <w:trPr/>
        <w:tc>
          <w:tcPr>
            <w:tcW w:w="5604"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870" w:type="dxa"/>
            <w:gridSpan w:val="6"/>
            <w:tcBorders>
              <w:bottom w:val="single" w:sz="12" w:space="0" w:color="000000"/>
            </w:tcBorders>
            <w:tcMar>
              <w:bottom w:w="28" w:type="dxa"/>
            </w:tcMar>
            <w:vAlign w:val="center"/>
          </w:tcPr>
          <w:p>
            <w:pPr>
              <w:pStyle w:val="TableContents"/>
              <w:bidi w:val="0"/>
              <w:jc w:val="center"/>
              <w:rPr>
                <w:b/>
              </w:rPr>
            </w:pPr>
            <w:r>
              <w:rPr>
                <w:b/>
              </w:rPr>
              <w:t>Six Months Ended</w:t>
            </w:r>
          </w:p>
          <w:p>
            <w:pPr>
              <w:pStyle w:val="TableContents"/>
              <w:bidi w:val="0"/>
              <w:spacing w:before="0" w:after="283"/>
              <w:jc w:val="center"/>
              <w:rPr>
                <w:b/>
              </w:rPr>
            </w:pPr>
            <w:r>
              <w:rPr>
                <w:b/>
              </w:rPr>
              <w:t>June 30,</w:t>
            </w:r>
          </w:p>
        </w:tc>
        <w:tc>
          <w:tcPr>
            <w:tcW w:w="2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2" w:type="dxa"/>
            <w:gridSpan w:val="6"/>
            <w:tcBorders>
              <w:bottom w:val="single" w:sz="12" w:space="0" w:color="000000"/>
            </w:tcBorders>
            <w:tcMar>
              <w:bottom w:w="28" w:type="dxa"/>
            </w:tcMar>
            <w:vAlign w:val="center"/>
          </w:tcPr>
          <w:p>
            <w:pPr>
              <w:pStyle w:val="TableContents"/>
              <w:bidi w:val="0"/>
              <w:jc w:val="center"/>
              <w:rPr>
                <w:b/>
              </w:rPr>
            </w:pPr>
            <w:r>
              <w:rPr>
                <w:b/>
              </w:rPr>
              <w:t>Three Months Ended</w:t>
            </w:r>
          </w:p>
          <w:p>
            <w:pPr>
              <w:pStyle w:val="TableContents"/>
              <w:bidi w:val="0"/>
              <w:spacing w:before="0" w:after="283"/>
              <w:jc w:val="center"/>
              <w:rPr>
                <w:b/>
              </w:rPr>
            </w:pPr>
            <w:r>
              <w:rPr>
                <w:b/>
              </w:rPr>
              <w:t>June 30,</w:t>
            </w:r>
          </w:p>
        </w:tc>
        <w:tc>
          <w:tcPr>
            <w:tcW w:w="265" w:type="dxa"/>
            <w:tcBorders/>
            <w:vAlign w:val="center"/>
          </w:tcPr>
          <w:p>
            <w:pPr>
              <w:pStyle w:val="TableContents"/>
              <w:bidi w:val="0"/>
              <w:spacing w:before="0" w:after="283"/>
              <w:ind w:left="0" w:right="0" w:hanging="180"/>
              <w:jc w:val="left"/>
              <w:rPr/>
            </w:pPr>
            <w:r>
              <w:rPr/>
              <w:t> </w:t>
            </w:r>
          </w:p>
        </w:tc>
      </w:tr>
      <w:tr>
        <w:trPr/>
        <w:tc>
          <w:tcPr>
            <w:tcW w:w="56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83"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348"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65" w:type="dxa"/>
            <w:tcBorders/>
            <w:vAlign w:val="center"/>
          </w:tcPr>
          <w:p>
            <w:pPr>
              <w:pStyle w:val="TableContents"/>
              <w:bidi w:val="0"/>
              <w:spacing w:before="0" w:after="283"/>
              <w:ind w:left="0" w:right="0" w:hanging="180"/>
              <w:jc w:val="left"/>
              <w:rPr/>
            </w:pPr>
            <w:r>
              <w:rPr/>
              <w:t> </w:t>
            </w:r>
          </w:p>
        </w:tc>
      </w:tr>
      <w:tr>
        <w:trPr/>
        <w:tc>
          <w:tcPr>
            <w:tcW w:w="5604" w:type="dxa"/>
            <w:tcBorders/>
            <w:shd w:fill="CCEEFF" w:val="clear"/>
            <w:vAlign w:val="center"/>
          </w:tcPr>
          <w:p>
            <w:pPr>
              <w:pStyle w:val="TableContents"/>
              <w:bidi w:val="0"/>
              <w:spacing w:before="0" w:after="283"/>
              <w:jc w:val="left"/>
              <w:rPr>
                <w:b/>
              </w:rPr>
            </w:pPr>
            <w:r>
              <w:rPr>
                <w:b/>
              </w:rPr>
              <w:t>GAAP gross loss margin</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(546</w:t>
            </w:r>
          </w:p>
        </w:tc>
        <w:tc>
          <w:tcPr>
            <w:tcW w:w="283"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(107</w:t>
            </w:r>
          </w:p>
        </w:tc>
        <w:tc>
          <w:tcPr>
            <w:tcW w:w="274"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(1,051</w:t>
            </w:r>
          </w:p>
        </w:tc>
        <w:tc>
          <w:tcPr>
            <w:tcW w:w="348"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(107</w:t>
            </w:r>
          </w:p>
        </w:tc>
        <w:tc>
          <w:tcPr>
            <w:tcW w:w="265" w:type="dxa"/>
            <w:tcBorders/>
            <w:shd w:fill="CCEEFF" w:val="clear"/>
            <w:vAlign w:val="center"/>
          </w:tcPr>
          <w:p>
            <w:pPr>
              <w:pStyle w:val="TableContents"/>
              <w:bidi w:val="0"/>
              <w:spacing w:before="0" w:after="283"/>
              <w:ind w:left="0" w:right="0" w:hanging="180"/>
              <w:jc w:val="left"/>
              <w:rPr/>
            </w:pPr>
            <w:r>
              <w:rPr/>
              <w:t>)%</w:t>
            </w:r>
          </w:p>
        </w:tc>
      </w:tr>
      <w:tr>
        <w:trPr/>
        <w:tc>
          <w:tcPr>
            <w:tcW w:w="5604" w:type="dxa"/>
            <w:tcBorders/>
            <w:shd w:fill="FFFFFF" w:val="clear"/>
            <w:vAlign w:val="center"/>
          </w:tcPr>
          <w:p>
            <w:pPr>
              <w:pStyle w:val="TableContents"/>
              <w:bidi w:val="0"/>
              <w:spacing w:before="0" w:after="283"/>
              <w:jc w:val="left"/>
              <w:rPr/>
            </w:pPr>
            <w:r>
              <w:rPr/>
              <w:t>Non-GAAP adjustments: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pPr>
            <w:r>
              <w:rPr/>
              <w:t> </w:t>
            </w:r>
          </w:p>
        </w:tc>
        <w:tc>
          <w:tcPr>
            <w:tcW w:w="283"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pPr>
            <w:r>
              <w:rPr/>
              <w:t> </w:t>
            </w:r>
          </w:p>
        </w:tc>
        <w:tc>
          <w:tcPr>
            <w:tcW w:w="34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ind w:left="0" w:right="0" w:hanging="180"/>
              <w:jc w:val="left"/>
              <w:rPr/>
            </w:pPr>
            <w:r>
              <w:rPr/>
              <w:t> </w:t>
            </w:r>
          </w:p>
        </w:tc>
      </w:tr>
      <w:tr>
        <w:trPr/>
        <w:tc>
          <w:tcPr>
            <w:tcW w:w="5604"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57</w:t>
            </w:r>
          </w:p>
        </w:tc>
        <w:tc>
          <w:tcPr>
            <w:tcW w:w="283"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87</w:t>
            </w:r>
          </w:p>
        </w:tc>
        <w:tc>
          <w:tcPr>
            <w:tcW w:w="274"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58</w:t>
            </w:r>
          </w:p>
        </w:tc>
        <w:tc>
          <w:tcPr>
            <w:tcW w:w="348"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84</w:t>
            </w:r>
          </w:p>
        </w:tc>
        <w:tc>
          <w:tcPr>
            <w:tcW w:w="265" w:type="dxa"/>
            <w:tcBorders/>
            <w:shd w:fill="CCEEFF" w:val="clear"/>
            <w:vAlign w:val="center"/>
          </w:tcPr>
          <w:p>
            <w:pPr>
              <w:pStyle w:val="TableContents"/>
              <w:bidi w:val="0"/>
              <w:spacing w:before="0" w:after="283"/>
              <w:ind w:left="0" w:right="0" w:hanging="180"/>
              <w:jc w:val="left"/>
              <w:rPr/>
            </w:pPr>
            <w:r>
              <w:rPr/>
              <w:t>%</w:t>
            </w:r>
          </w:p>
        </w:tc>
      </w:tr>
      <w:tr>
        <w:trPr/>
        <w:tc>
          <w:tcPr>
            <w:tcW w:w="5604" w:type="dxa"/>
            <w:tcBorders/>
            <w:shd w:fill="FFFFFF" w:val="clear"/>
            <w:vAlign w:val="center"/>
          </w:tcPr>
          <w:p>
            <w:pPr>
              <w:pStyle w:val="TableContents"/>
              <w:bidi w:val="0"/>
              <w:spacing w:before="0" w:after="283"/>
              <w:jc w:val="left"/>
              <w:rPr/>
            </w:pPr>
            <w:r>
              <w:rPr/>
              <w:t>Impairment of intangible assets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pPr>
            <w:r>
              <w:rPr/>
              <w:t>481</w:t>
            </w:r>
          </w:p>
        </w:tc>
        <w:tc>
          <w:tcPr>
            <w:tcW w:w="283"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pPr>
            <w:r>
              <w:rPr/>
              <w:t>-</w:t>
            </w:r>
          </w:p>
        </w:tc>
        <w:tc>
          <w:tcPr>
            <w:tcW w:w="2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pPr>
            <w:r>
              <w:rPr/>
              <w:t>979</w:t>
            </w:r>
          </w:p>
        </w:tc>
        <w:tc>
          <w:tcPr>
            <w:tcW w:w="348"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w:t>
            </w:r>
          </w:p>
        </w:tc>
        <w:tc>
          <w:tcPr>
            <w:tcW w:w="265" w:type="dxa"/>
            <w:tcBorders/>
            <w:shd w:fill="FFFFFF" w:val="clear"/>
            <w:vAlign w:val="center"/>
          </w:tcPr>
          <w:p>
            <w:pPr>
              <w:pStyle w:val="TableContents"/>
              <w:bidi w:val="0"/>
              <w:spacing w:before="0" w:after="283"/>
              <w:ind w:left="0" w:right="0" w:hanging="180"/>
              <w:jc w:val="left"/>
              <w:rPr/>
            </w:pPr>
            <w:r>
              <w:rPr/>
              <w:t> </w:t>
            </w:r>
          </w:p>
        </w:tc>
      </w:tr>
      <w:tr>
        <w:trPr/>
        <w:tc>
          <w:tcPr>
            <w:tcW w:w="5604"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2"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283"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2"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274"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8"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348"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4"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265" w:type="dxa"/>
            <w:tcBorders/>
            <w:shd w:fill="CCEEFF" w:val="clear"/>
            <w:vAlign w:val="center"/>
          </w:tcPr>
          <w:p>
            <w:pPr>
              <w:pStyle w:val="TableContents"/>
              <w:bidi w:val="0"/>
              <w:spacing w:before="0" w:after="283"/>
              <w:ind w:left="0" w:right="0" w:hanging="180"/>
              <w:jc w:val="left"/>
              <w:rPr/>
            </w:pPr>
            <w:r>
              <w:rPr/>
              <w:t>%</w:t>
            </w:r>
          </w:p>
        </w:tc>
      </w:tr>
      <w:tr>
        <w:trPr/>
        <w:tc>
          <w:tcPr>
            <w:tcW w:w="5604" w:type="dxa"/>
            <w:tcBorders/>
            <w:shd w:fill="FFFFFF" w:val="clear"/>
            <w:vAlign w:val="center"/>
          </w:tcPr>
          <w:p>
            <w:pPr>
              <w:pStyle w:val="TableContents"/>
              <w:bidi w:val="0"/>
              <w:spacing w:before="0" w:after="283"/>
              <w:jc w:val="left"/>
              <w:rPr>
                <w:b/>
              </w:rPr>
            </w:pPr>
            <w:r>
              <w:rPr>
                <w:b/>
              </w:rPr>
              <w:t>Non-GAAP gross loss margin</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02" w:type="dxa"/>
            <w:tcBorders>
              <w:bottom w:val="double" w:sz="10" w:space="0" w:color="000000"/>
            </w:tcBorders>
            <w:shd w:fill="FFFFFF" w:val="clear"/>
            <w:tcMar>
              <w:bottom w:w="28" w:type="dxa"/>
            </w:tcMar>
            <w:vAlign w:val="center"/>
          </w:tcPr>
          <w:p>
            <w:pPr>
              <w:pStyle w:val="TableContents"/>
              <w:bidi w:val="0"/>
              <w:spacing w:before="0" w:after="283"/>
              <w:jc w:val="right"/>
              <w:rPr/>
            </w:pPr>
            <w:r>
              <w:rPr/>
              <w:t>(8</w:t>
            </w:r>
          </w:p>
        </w:tc>
        <w:tc>
          <w:tcPr>
            <w:tcW w:w="283"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02" w:type="dxa"/>
            <w:tcBorders>
              <w:bottom w:val="double" w:sz="10" w:space="0" w:color="000000"/>
            </w:tcBorders>
            <w:shd w:fill="FFFFFF" w:val="clear"/>
            <w:tcMar>
              <w:bottom w:w="28" w:type="dxa"/>
            </w:tcMar>
            <w:vAlign w:val="center"/>
          </w:tcPr>
          <w:p>
            <w:pPr>
              <w:pStyle w:val="TableContents"/>
              <w:bidi w:val="0"/>
              <w:spacing w:before="0" w:after="283"/>
              <w:jc w:val="right"/>
              <w:rPr/>
            </w:pPr>
            <w:r>
              <w:rPr/>
              <w:t>(18</w:t>
            </w:r>
          </w:p>
        </w:tc>
        <w:tc>
          <w:tcPr>
            <w:tcW w:w="274"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98" w:type="dxa"/>
            <w:tcBorders>
              <w:bottom w:val="double" w:sz="10" w:space="0" w:color="000000"/>
            </w:tcBorders>
            <w:shd w:fill="FFFFFF" w:val="clear"/>
            <w:tcMar>
              <w:bottom w:w="28" w:type="dxa"/>
            </w:tcMar>
            <w:vAlign w:val="center"/>
          </w:tcPr>
          <w:p>
            <w:pPr>
              <w:pStyle w:val="TableContents"/>
              <w:bidi w:val="0"/>
              <w:spacing w:before="0" w:after="283"/>
              <w:jc w:val="right"/>
              <w:rPr/>
            </w:pPr>
            <w:r>
              <w:rPr/>
              <w:t>(13</w:t>
            </w:r>
          </w:p>
        </w:tc>
        <w:tc>
          <w:tcPr>
            <w:tcW w:w="348"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7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04" w:type="dxa"/>
            <w:tcBorders>
              <w:bottom w:val="double" w:sz="10" w:space="0" w:color="000000"/>
            </w:tcBorders>
            <w:shd w:fill="FFFFFF" w:val="clear"/>
            <w:tcMar>
              <w:bottom w:w="28" w:type="dxa"/>
            </w:tcMar>
            <w:vAlign w:val="center"/>
          </w:tcPr>
          <w:p>
            <w:pPr>
              <w:pStyle w:val="TableContents"/>
              <w:bidi w:val="0"/>
              <w:spacing w:before="0" w:after="283"/>
              <w:jc w:val="right"/>
              <w:rPr/>
            </w:pPr>
            <w:r>
              <w:rPr/>
              <w:t>(21</w:t>
            </w:r>
          </w:p>
        </w:tc>
        <w:tc>
          <w:tcPr>
            <w:tcW w:w="265" w:type="dxa"/>
            <w:tcBorders/>
            <w:shd w:fill="FFFFFF" w:val="clear"/>
            <w:vAlign w:val="center"/>
          </w:tcPr>
          <w:p>
            <w:pPr>
              <w:pStyle w:val="TableContents"/>
              <w:bidi w:val="0"/>
              <w:spacing w:before="0" w:after="283"/>
              <w:ind w:left="0" w:right="0" w:hanging="180"/>
              <w:jc w:val="left"/>
              <w:rPr/>
            </w:pPr>
            <w:r>
              <w:rPr/>
              <w:t>)%</w:t>
            </w:r>
          </w:p>
        </w:tc>
      </w:tr>
      <w:tr>
        <w:trPr/>
        <w:tc>
          <w:tcPr>
            <w:tcW w:w="5604" w:type="dxa"/>
            <w:tcBorders/>
            <w:shd w:fill="CCEEFF" w:val="clear"/>
            <w:vAlign w:val="center"/>
          </w:tcPr>
          <w:p>
            <w:pPr>
              <w:pStyle w:val="TableContents"/>
              <w:bidi w:val="0"/>
              <w:spacing w:before="0" w:after="283"/>
              <w:jc w:val="left"/>
              <w:rPr>
                <w:b/>
              </w:rPr>
            </w:pPr>
            <w:r>
              <w:rPr>
                <w:b/>
              </w:rPr>
              <w:t>GAAP sales and marketing expenses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4,064</w:t>
            </w:r>
          </w:p>
        </w:tc>
        <w:tc>
          <w:tcPr>
            <w:tcW w:w="283"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2,178</w:t>
            </w:r>
          </w:p>
        </w:tc>
        <w:tc>
          <w:tcPr>
            <w:tcW w:w="2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1,900</w:t>
            </w:r>
          </w:p>
        </w:tc>
        <w:tc>
          <w:tcPr>
            <w:tcW w:w="34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1,239</w:t>
            </w:r>
          </w:p>
        </w:tc>
        <w:tc>
          <w:tcPr>
            <w:tcW w:w="265" w:type="dxa"/>
            <w:tcBorders/>
            <w:shd w:fill="CCEEFF" w:val="clear"/>
            <w:vAlign w:val="center"/>
          </w:tcPr>
          <w:p>
            <w:pPr>
              <w:pStyle w:val="TableContents"/>
              <w:bidi w:val="0"/>
              <w:spacing w:before="0" w:after="283"/>
              <w:ind w:left="0" w:right="0" w:hanging="180"/>
              <w:jc w:val="left"/>
              <w:rPr/>
            </w:pPr>
            <w:r>
              <w:rPr/>
              <w:t> </w:t>
            </w:r>
          </w:p>
        </w:tc>
      </w:tr>
      <w:tr>
        <w:trPr/>
        <w:tc>
          <w:tcPr>
            <w:tcW w:w="5604" w:type="dxa"/>
            <w:tcBorders/>
            <w:shd w:fill="FFFFFF" w:val="clear"/>
            <w:vAlign w:val="center"/>
          </w:tcPr>
          <w:p>
            <w:pPr>
              <w:pStyle w:val="TableContents"/>
              <w:bidi w:val="0"/>
              <w:spacing w:before="0" w:after="283"/>
              <w:jc w:val="left"/>
              <w:rPr/>
            </w:pPr>
            <w:r>
              <w:rPr/>
              <w:t>Non-GAAP adjustments: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pPr>
            <w:r>
              <w:rPr/>
              <w:t> </w:t>
            </w:r>
          </w:p>
        </w:tc>
        <w:tc>
          <w:tcPr>
            <w:tcW w:w="283"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pPr>
            <w:r>
              <w:rPr/>
              <w:t> </w:t>
            </w:r>
          </w:p>
        </w:tc>
        <w:tc>
          <w:tcPr>
            <w:tcW w:w="34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ind w:left="0" w:right="0" w:hanging="180"/>
              <w:jc w:val="left"/>
              <w:rPr/>
            </w:pPr>
            <w:r>
              <w:rPr/>
              <w:t> </w:t>
            </w:r>
          </w:p>
        </w:tc>
      </w:tr>
      <w:tr>
        <w:trPr/>
        <w:tc>
          <w:tcPr>
            <w:tcW w:w="5604"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221</w:t>
            </w:r>
          </w:p>
        </w:tc>
        <w:tc>
          <w:tcPr>
            <w:tcW w:w="283"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194</w:t>
            </w:r>
          </w:p>
        </w:tc>
        <w:tc>
          <w:tcPr>
            <w:tcW w:w="2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111</w:t>
            </w:r>
          </w:p>
        </w:tc>
        <w:tc>
          <w:tcPr>
            <w:tcW w:w="34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97</w:t>
            </w:r>
          </w:p>
        </w:tc>
        <w:tc>
          <w:tcPr>
            <w:tcW w:w="265" w:type="dxa"/>
            <w:tcBorders/>
            <w:shd w:fill="CCEEFF" w:val="clear"/>
            <w:vAlign w:val="center"/>
          </w:tcPr>
          <w:p>
            <w:pPr>
              <w:pStyle w:val="TableContents"/>
              <w:bidi w:val="0"/>
              <w:spacing w:before="0" w:after="283"/>
              <w:ind w:left="0" w:right="0" w:hanging="180"/>
              <w:jc w:val="left"/>
              <w:rPr/>
            </w:pPr>
            <w:r>
              <w:rPr/>
              <w:t> </w:t>
            </w:r>
          </w:p>
        </w:tc>
      </w:tr>
      <w:tr>
        <w:trPr/>
        <w:tc>
          <w:tcPr>
            <w:tcW w:w="5604"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2" w:type="dxa"/>
            <w:tcBorders>
              <w:bottom w:val="single" w:sz="12" w:space="0" w:color="000000"/>
            </w:tcBorders>
            <w:shd w:fill="FFFFFF" w:val="clear"/>
            <w:tcMar>
              <w:bottom w:w="28" w:type="dxa"/>
            </w:tcMar>
            <w:vAlign w:val="center"/>
          </w:tcPr>
          <w:p>
            <w:pPr>
              <w:pStyle w:val="TableContents"/>
              <w:bidi w:val="0"/>
              <w:spacing w:before="0" w:after="283"/>
              <w:jc w:val="right"/>
              <w:rPr/>
            </w:pPr>
            <w:r>
              <w:rPr/>
              <w:t>232</w:t>
            </w:r>
          </w:p>
        </w:tc>
        <w:tc>
          <w:tcPr>
            <w:tcW w:w="283"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2" w:type="dxa"/>
            <w:tcBorders>
              <w:bottom w:val="single" w:sz="12" w:space="0" w:color="000000"/>
            </w:tcBorders>
            <w:shd w:fill="FFFFFF" w:val="clear"/>
            <w:tcMar>
              <w:bottom w:w="28" w:type="dxa"/>
            </w:tcMar>
            <w:vAlign w:val="center"/>
          </w:tcPr>
          <w:p>
            <w:pPr>
              <w:pStyle w:val="TableContents"/>
              <w:bidi w:val="0"/>
              <w:spacing w:before="0" w:after="283"/>
              <w:jc w:val="right"/>
              <w:rPr/>
            </w:pPr>
            <w:r>
              <w:rPr/>
              <w:t>172</w:t>
            </w:r>
          </w:p>
        </w:tc>
        <w:tc>
          <w:tcPr>
            <w:tcW w:w="2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8" w:type="dxa"/>
            <w:tcBorders>
              <w:bottom w:val="single" w:sz="12" w:space="0" w:color="000000"/>
            </w:tcBorders>
            <w:shd w:fill="FFFFFF" w:val="clear"/>
            <w:tcMar>
              <w:bottom w:w="28" w:type="dxa"/>
            </w:tcMar>
            <w:vAlign w:val="center"/>
          </w:tcPr>
          <w:p>
            <w:pPr>
              <w:pStyle w:val="TableContents"/>
              <w:bidi w:val="0"/>
              <w:spacing w:before="0" w:after="283"/>
              <w:jc w:val="right"/>
              <w:rPr/>
            </w:pPr>
            <w:r>
              <w:rPr/>
              <w:t>116</w:t>
            </w:r>
          </w:p>
        </w:tc>
        <w:tc>
          <w:tcPr>
            <w:tcW w:w="34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4" w:type="dxa"/>
            <w:tcBorders>
              <w:bottom w:val="single" w:sz="12" w:space="0" w:color="000000"/>
            </w:tcBorders>
            <w:shd w:fill="FFFFFF" w:val="clear"/>
            <w:tcMar>
              <w:bottom w:w="28" w:type="dxa"/>
            </w:tcMar>
            <w:vAlign w:val="center"/>
          </w:tcPr>
          <w:p>
            <w:pPr>
              <w:pStyle w:val="TableContents"/>
              <w:bidi w:val="0"/>
              <w:spacing w:before="0" w:after="283"/>
              <w:jc w:val="right"/>
              <w:rPr/>
            </w:pPr>
            <w:r>
              <w:rPr/>
              <w:t>88</w:t>
            </w:r>
          </w:p>
        </w:tc>
        <w:tc>
          <w:tcPr>
            <w:tcW w:w="265" w:type="dxa"/>
            <w:tcBorders/>
            <w:shd w:fill="FFFFFF" w:val="clear"/>
            <w:vAlign w:val="center"/>
          </w:tcPr>
          <w:p>
            <w:pPr>
              <w:pStyle w:val="TableContents"/>
              <w:bidi w:val="0"/>
              <w:spacing w:before="0" w:after="283"/>
              <w:ind w:left="0" w:right="0" w:hanging="180"/>
              <w:jc w:val="left"/>
              <w:rPr/>
            </w:pPr>
            <w:r>
              <w:rPr/>
              <w:t> </w:t>
            </w:r>
          </w:p>
        </w:tc>
      </w:tr>
      <w:tr>
        <w:trPr/>
        <w:tc>
          <w:tcPr>
            <w:tcW w:w="5604" w:type="dxa"/>
            <w:tcBorders/>
            <w:shd w:fill="CCEEFF" w:val="clear"/>
            <w:vAlign w:val="center"/>
          </w:tcPr>
          <w:p>
            <w:pPr>
              <w:pStyle w:val="TableContents"/>
              <w:bidi w:val="0"/>
              <w:spacing w:before="0" w:after="283"/>
              <w:jc w:val="left"/>
              <w:rPr>
                <w:b/>
              </w:rPr>
            </w:pPr>
            <w:r>
              <w:rPr>
                <w:b/>
              </w:rPr>
              <w:t>Non-GAAP sales and marketing expenses</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02" w:type="dxa"/>
            <w:tcBorders>
              <w:bottom w:val="double" w:sz="10" w:space="0" w:color="000000"/>
            </w:tcBorders>
            <w:shd w:fill="CCEEFF" w:val="clear"/>
            <w:tcMar>
              <w:bottom w:w="28" w:type="dxa"/>
            </w:tcMar>
            <w:vAlign w:val="center"/>
          </w:tcPr>
          <w:p>
            <w:pPr>
              <w:pStyle w:val="TableContents"/>
              <w:bidi w:val="0"/>
              <w:spacing w:before="0" w:after="283"/>
              <w:jc w:val="right"/>
              <w:rPr/>
            </w:pPr>
            <w:r>
              <w:rPr/>
              <w:t>3,611</w:t>
            </w:r>
          </w:p>
        </w:tc>
        <w:tc>
          <w:tcPr>
            <w:tcW w:w="283"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02" w:type="dxa"/>
            <w:tcBorders>
              <w:bottom w:val="double" w:sz="10" w:space="0" w:color="000000"/>
            </w:tcBorders>
            <w:shd w:fill="CCEEFF" w:val="clear"/>
            <w:tcMar>
              <w:bottom w:w="28" w:type="dxa"/>
            </w:tcMar>
            <w:vAlign w:val="center"/>
          </w:tcPr>
          <w:p>
            <w:pPr>
              <w:pStyle w:val="TableContents"/>
              <w:bidi w:val="0"/>
              <w:spacing w:before="0" w:after="283"/>
              <w:jc w:val="right"/>
              <w:rPr/>
            </w:pPr>
            <w:r>
              <w:rPr/>
              <w:t>1,812</w:t>
            </w:r>
          </w:p>
        </w:tc>
        <w:tc>
          <w:tcPr>
            <w:tcW w:w="2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98" w:type="dxa"/>
            <w:tcBorders>
              <w:bottom w:val="double" w:sz="10" w:space="0" w:color="000000"/>
            </w:tcBorders>
            <w:shd w:fill="CCEEFF" w:val="clear"/>
            <w:tcMar>
              <w:bottom w:w="28" w:type="dxa"/>
            </w:tcMar>
            <w:vAlign w:val="center"/>
          </w:tcPr>
          <w:p>
            <w:pPr>
              <w:pStyle w:val="TableContents"/>
              <w:bidi w:val="0"/>
              <w:spacing w:before="0" w:after="283"/>
              <w:jc w:val="right"/>
              <w:rPr/>
            </w:pPr>
            <w:r>
              <w:rPr/>
              <w:t>1,673</w:t>
            </w:r>
          </w:p>
        </w:tc>
        <w:tc>
          <w:tcPr>
            <w:tcW w:w="34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04" w:type="dxa"/>
            <w:tcBorders>
              <w:bottom w:val="double" w:sz="10" w:space="0" w:color="000000"/>
            </w:tcBorders>
            <w:shd w:fill="CCEEFF" w:val="clear"/>
            <w:tcMar>
              <w:bottom w:w="28" w:type="dxa"/>
            </w:tcMar>
            <w:vAlign w:val="center"/>
          </w:tcPr>
          <w:p>
            <w:pPr>
              <w:pStyle w:val="TableContents"/>
              <w:bidi w:val="0"/>
              <w:spacing w:before="0" w:after="283"/>
              <w:jc w:val="right"/>
              <w:rPr/>
            </w:pPr>
            <w:r>
              <w:rPr/>
              <w:t>1,054</w:t>
            </w:r>
          </w:p>
        </w:tc>
        <w:tc>
          <w:tcPr>
            <w:tcW w:w="265" w:type="dxa"/>
            <w:tcBorders/>
            <w:shd w:fill="CCEEFF" w:val="clear"/>
            <w:vAlign w:val="center"/>
          </w:tcPr>
          <w:p>
            <w:pPr>
              <w:pStyle w:val="TableContents"/>
              <w:bidi w:val="0"/>
              <w:spacing w:before="0" w:after="283"/>
              <w:ind w:left="0" w:right="0" w:hanging="180"/>
              <w:jc w:val="left"/>
              <w:rPr/>
            </w:pPr>
            <w:r>
              <w:rPr/>
              <w:t> </w:t>
            </w:r>
          </w:p>
        </w:tc>
      </w:tr>
      <w:tr>
        <w:trPr/>
        <w:tc>
          <w:tcPr>
            <w:tcW w:w="5604" w:type="dxa"/>
            <w:tcBorders/>
            <w:shd w:fill="FFFFFF" w:val="clear"/>
            <w:vAlign w:val="center"/>
          </w:tcPr>
          <w:p>
            <w:pPr>
              <w:pStyle w:val="TableContents"/>
              <w:bidi w:val="0"/>
              <w:spacing w:before="0" w:after="283"/>
              <w:jc w:val="left"/>
              <w:rPr>
                <w:b/>
              </w:rPr>
            </w:pPr>
            <w:r>
              <w:rPr>
                <w:b/>
              </w:rPr>
              <w:t>GAAP general and administrative expenses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pPr>
            <w:r>
              <w:rPr/>
              <w:t>10,684</w:t>
            </w:r>
          </w:p>
        </w:tc>
        <w:tc>
          <w:tcPr>
            <w:tcW w:w="283"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pPr>
            <w:r>
              <w:rPr/>
              <w:t>10,265</w:t>
            </w:r>
          </w:p>
        </w:tc>
        <w:tc>
          <w:tcPr>
            <w:tcW w:w="2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pPr>
            <w:r>
              <w:rPr/>
              <w:t>5,444</w:t>
            </w:r>
          </w:p>
        </w:tc>
        <w:tc>
          <w:tcPr>
            <w:tcW w:w="34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5,127</w:t>
            </w:r>
          </w:p>
        </w:tc>
        <w:tc>
          <w:tcPr>
            <w:tcW w:w="265" w:type="dxa"/>
            <w:tcBorders/>
            <w:shd w:fill="FFFFFF" w:val="clear"/>
            <w:vAlign w:val="center"/>
          </w:tcPr>
          <w:p>
            <w:pPr>
              <w:pStyle w:val="TableContents"/>
              <w:bidi w:val="0"/>
              <w:spacing w:before="0" w:after="283"/>
              <w:ind w:left="0" w:right="0" w:hanging="180"/>
              <w:jc w:val="left"/>
              <w:rPr/>
            </w:pPr>
            <w:r>
              <w:rPr/>
              <w:t> </w:t>
            </w:r>
          </w:p>
        </w:tc>
      </w:tr>
      <w:tr>
        <w:trPr/>
        <w:tc>
          <w:tcPr>
            <w:tcW w:w="5604" w:type="dxa"/>
            <w:tcBorders/>
            <w:shd w:fill="CCEEFF" w:val="clear"/>
            <w:vAlign w:val="center"/>
          </w:tcPr>
          <w:p>
            <w:pPr>
              <w:pStyle w:val="TableContents"/>
              <w:bidi w:val="0"/>
              <w:spacing w:before="0" w:after="283"/>
              <w:jc w:val="left"/>
              <w:rPr/>
            </w:pPr>
            <w:r>
              <w:rPr/>
              <w:t>Non-GAAP adjustments: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 </w:t>
            </w:r>
          </w:p>
        </w:tc>
        <w:tc>
          <w:tcPr>
            <w:tcW w:w="283"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 </w:t>
            </w:r>
          </w:p>
        </w:tc>
        <w:tc>
          <w:tcPr>
            <w:tcW w:w="2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 </w:t>
            </w:r>
          </w:p>
        </w:tc>
        <w:tc>
          <w:tcPr>
            <w:tcW w:w="34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265" w:type="dxa"/>
            <w:tcBorders/>
            <w:shd w:fill="CCEEFF" w:val="clear"/>
            <w:vAlign w:val="center"/>
          </w:tcPr>
          <w:p>
            <w:pPr>
              <w:pStyle w:val="TableContents"/>
              <w:bidi w:val="0"/>
              <w:spacing w:before="0" w:after="283"/>
              <w:ind w:left="0" w:right="0" w:hanging="180"/>
              <w:jc w:val="left"/>
              <w:rPr/>
            </w:pPr>
            <w:r>
              <w:rPr/>
              <w:t> </w:t>
            </w:r>
          </w:p>
        </w:tc>
      </w:tr>
      <w:tr>
        <w:trPr/>
        <w:tc>
          <w:tcPr>
            <w:tcW w:w="5604" w:type="dxa"/>
            <w:tcBorders/>
            <w:shd w:fill="FFFFFF" w:val="clear"/>
            <w:vAlign w:val="center"/>
          </w:tcPr>
          <w:p>
            <w:pPr>
              <w:pStyle w:val="TableContents"/>
              <w:bidi w:val="0"/>
              <w:spacing w:before="0" w:after="283"/>
              <w:jc w:val="left"/>
              <w:rPr/>
            </w:pPr>
            <w:r>
              <w:rPr/>
              <w:t>Class-action litigation</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pPr>
            <w:r>
              <w:rPr/>
              <w:t>15</w:t>
            </w:r>
          </w:p>
        </w:tc>
        <w:tc>
          <w:tcPr>
            <w:tcW w:w="283"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pPr>
            <w:r>
              <w:rPr/>
              <w:t>33</w:t>
            </w:r>
          </w:p>
        </w:tc>
        <w:tc>
          <w:tcPr>
            <w:tcW w:w="2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pPr>
            <w:r>
              <w:rPr/>
              <w:t>15</w:t>
            </w:r>
          </w:p>
        </w:tc>
        <w:tc>
          <w:tcPr>
            <w:tcW w:w="34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33</w:t>
            </w:r>
          </w:p>
        </w:tc>
        <w:tc>
          <w:tcPr>
            <w:tcW w:w="265" w:type="dxa"/>
            <w:tcBorders/>
            <w:shd w:fill="FFFFFF" w:val="clear"/>
            <w:vAlign w:val="center"/>
          </w:tcPr>
          <w:p>
            <w:pPr>
              <w:pStyle w:val="TableContents"/>
              <w:bidi w:val="0"/>
              <w:spacing w:before="0" w:after="283"/>
              <w:ind w:left="0" w:right="0" w:hanging="180"/>
              <w:jc w:val="left"/>
              <w:rPr/>
            </w:pPr>
            <w:r>
              <w:rPr/>
              <w:t> </w:t>
            </w:r>
          </w:p>
        </w:tc>
      </w:tr>
      <w:tr>
        <w:trPr/>
        <w:tc>
          <w:tcPr>
            <w:tcW w:w="5604"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2" w:type="dxa"/>
            <w:tcBorders>
              <w:bottom w:val="single" w:sz="12" w:space="0" w:color="000000"/>
            </w:tcBorders>
            <w:shd w:fill="CCEEFF" w:val="clear"/>
            <w:tcMar>
              <w:bottom w:w="28" w:type="dxa"/>
            </w:tcMar>
            <w:vAlign w:val="center"/>
          </w:tcPr>
          <w:p>
            <w:pPr>
              <w:pStyle w:val="TableContents"/>
              <w:bidi w:val="0"/>
              <w:spacing w:before="0" w:after="283"/>
              <w:jc w:val="right"/>
              <w:rPr/>
            </w:pPr>
            <w:r>
              <w:rPr/>
              <w:t>972</w:t>
            </w:r>
          </w:p>
        </w:tc>
        <w:tc>
          <w:tcPr>
            <w:tcW w:w="283"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2" w:type="dxa"/>
            <w:tcBorders>
              <w:bottom w:val="single" w:sz="12" w:space="0" w:color="000000"/>
            </w:tcBorders>
            <w:shd w:fill="CCEEFF" w:val="clear"/>
            <w:tcMar>
              <w:bottom w:w="28" w:type="dxa"/>
            </w:tcMar>
            <w:vAlign w:val="center"/>
          </w:tcPr>
          <w:p>
            <w:pPr>
              <w:pStyle w:val="TableContents"/>
              <w:bidi w:val="0"/>
              <w:spacing w:before="0" w:after="283"/>
              <w:jc w:val="right"/>
              <w:rPr/>
            </w:pPr>
            <w:r>
              <w:rPr/>
              <w:t>1,307</w:t>
            </w:r>
          </w:p>
        </w:tc>
        <w:tc>
          <w:tcPr>
            <w:tcW w:w="2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8" w:type="dxa"/>
            <w:tcBorders>
              <w:bottom w:val="single" w:sz="12" w:space="0" w:color="000000"/>
            </w:tcBorders>
            <w:shd w:fill="CCEEFF" w:val="clear"/>
            <w:tcMar>
              <w:bottom w:w="28" w:type="dxa"/>
            </w:tcMar>
            <w:vAlign w:val="center"/>
          </w:tcPr>
          <w:p>
            <w:pPr>
              <w:pStyle w:val="TableContents"/>
              <w:bidi w:val="0"/>
              <w:spacing w:before="0" w:after="283"/>
              <w:jc w:val="right"/>
              <w:rPr/>
            </w:pPr>
            <w:r>
              <w:rPr/>
              <w:t>493</w:t>
            </w:r>
          </w:p>
        </w:tc>
        <w:tc>
          <w:tcPr>
            <w:tcW w:w="34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4" w:type="dxa"/>
            <w:tcBorders>
              <w:bottom w:val="single" w:sz="12" w:space="0" w:color="000000"/>
            </w:tcBorders>
            <w:shd w:fill="CCEEFF" w:val="clear"/>
            <w:tcMar>
              <w:bottom w:w="28" w:type="dxa"/>
            </w:tcMar>
            <w:vAlign w:val="center"/>
          </w:tcPr>
          <w:p>
            <w:pPr>
              <w:pStyle w:val="TableContents"/>
              <w:bidi w:val="0"/>
              <w:spacing w:before="0" w:after="283"/>
              <w:jc w:val="right"/>
              <w:rPr/>
            </w:pPr>
            <w:r>
              <w:rPr/>
              <w:t>638</w:t>
            </w:r>
          </w:p>
        </w:tc>
        <w:tc>
          <w:tcPr>
            <w:tcW w:w="265" w:type="dxa"/>
            <w:tcBorders/>
            <w:shd w:fill="CCEEFF" w:val="clear"/>
            <w:vAlign w:val="center"/>
          </w:tcPr>
          <w:p>
            <w:pPr>
              <w:pStyle w:val="TableContents"/>
              <w:bidi w:val="0"/>
              <w:spacing w:before="0" w:after="283"/>
              <w:ind w:left="0" w:right="0" w:hanging="180"/>
              <w:jc w:val="left"/>
              <w:rPr/>
            </w:pPr>
            <w:r>
              <w:rPr/>
              <w:t> </w:t>
            </w:r>
          </w:p>
        </w:tc>
      </w:tr>
      <w:tr>
        <w:trPr/>
        <w:tc>
          <w:tcPr>
            <w:tcW w:w="5604" w:type="dxa"/>
            <w:tcBorders/>
            <w:shd w:fill="FFFFFF" w:val="clear"/>
            <w:vAlign w:val="center"/>
          </w:tcPr>
          <w:p>
            <w:pPr>
              <w:pStyle w:val="TableContents"/>
              <w:bidi w:val="0"/>
              <w:spacing w:before="0" w:after="283"/>
              <w:jc w:val="left"/>
              <w:rPr>
                <w:b/>
              </w:rPr>
            </w:pPr>
            <w:r>
              <w:rPr>
                <w:b/>
              </w:rPr>
              <w:t>Non-GAAP general and administrative expenses</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02" w:type="dxa"/>
            <w:tcBorders>
              <w:bottom w:val="double" w:sz="10" w:space="0" w:color="000000"/>
            </w:tcBorders>
            <w:shd w:fill="FFFFFF" w:val="clear"/>
            <w:tcMar>
              <w:bottom w:w="28" w:type="dxa"/>
            </w:tcMar>
            <w:vAlign w:val="center"/>
          </w:tcPr>
          <w:p>
            <w:pPr>
              <w:pStyle w:val="TableContents"/>
              <w:bidi w:val="0"/>
              <w:spacing w:before="0" w:after="283"/>
              <w:jc w:val="right"/>
              <w:rPr/>
            </w:pPr>
            <w:r>
              <w:rPr/>
              <w:t>9,697</w:t>
            </w:r>
          </w:p>
        </w:tc>
        <w:tc>
          <w:tcPr>
            <w:tcW w:w="283"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02" w:type="dxa"/>
            <w:tcBorders>
              <w:bottom w:val="double" w:sz="10" w:space="0" w:color="000000"/>
            </w:tcBorders>
            <w:shd w:fill="FFFFFF" w:val="clear"/>
            <w:tcMar>
              <w:bottom w:w="28" w:type="dxa"/>
            </w:tcMar>
            <w:vAlign w:val="center"/>
          </w:tcPr>
          <w:p>
            <w:pPr>
              <w:pStyle w:val="TableContents"/>
              <w:bidi w:val="0"/>
              <w:spacing w:before="0" w:after="283"/>
              <w:jc w:val="right"/>
              <w:rPr/>
            </w:pPr>
            <w:r>
              <w:rPr/>
              <w:t>8,925</w:t>
            </w:r>
          </w:p>
        </w:tc>
        <w:tc>
          <w:tcPr>
            <w:tcW w:w="2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98" w:type="dxa"/>
            <w:tcBorders>
              <w:bottom w:val="double" w:sz="10" w:space="0" w:color="000000"/>
            </w:tcBorders>
            <w:shd w:fill="FFFFFF" w:val="clear"/>
            <w:tcMar>
              <w:bottom w:w="28" w:type="dxa"/>
            </w:tcMar>
            <w:vAlign w:val="center"/>
          </w:tcPr>
          <w:p>
            <w:pPr>
              <w:pStyle w:val="TableContents"/>
              <w:bidi w:val="0"/>
              <w:spacing w:before="0" w:after="283"/>
              <w:jc w:val="right"/>
              <w:rPr/>
            </w:pPr>
            <w:r>
              <w:rPr/>
              <w:t>4,936</w:t>
            </w:r>
          </w:p>
        </w:tc>
        <w:tc>
          <w:tcPr>
            <w:tcW w:w="34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04" w:type="dxa"/>
            <w:tcBorders>
              <w:bottom w:val="double" w:sz="10" w:space="0" w:color="000000"/>
            </w:tcBorders>
            <w:shd w:fill="FFFFFF" w:val="clear"/>
            <w:tcMar>
              <w:bottom w:w="28" w:type="dxa"/>
            </w:tcMar>
            <w:vAlign w:val="center"/>
          </w:tcPr>
          <w:p>
            <w:pPr>
              <w:pStyle w:val="TableContents"/>
              <w:bidi w:val="0"/>
              <w:spacing w:before="0" w:after="283"/>
              <w:jc w:val="right"/>
              <w:rPr/>
            </w:pPr>
            <w:r>
              <w:rPr/>
              <w:t>4,456</w:t>
            </w:r>
          </w:p>
        </w:tc>
        <w:tc>
          <w:tcPr>
            <w:tcW w:w="265" w:type="dxa"/>
            <w:tcBorders/>
            <w:shd w:fill="FFFFFF" w:val="clear"/>
            <w:vAlign w:val="center"/>
          </w:tcPr>
          <w:p>
            <w:pPr>
              <w:pStyle w:val="TableContents"/>
              <w:bidi w:val="0"/>
              <w:spacing w:before="0" w:after="283"/>
              <w:ind w:left="0" w:right="0" w:hanging="180"/>
              <w:jc w:val="left"/>
              <w:rPr/>
            </w:pPr>
            <w:r>
              <w:rPr/>
              <w:t> </w:t>
            </w:r>
          </w:p>
        </w:tc>
      </w:tr>
      <w:tr>
        <w:trPr/>
        <w:tc>
          <w:tcPr>
            <w:tcW w:w="5604" w:type="dxa"/>
            <w:tcBorders/>
            <w:shd w:fill="CCEEFF" w:val="clear"/>
            <w:vAlign w:val="center"/>
          </w:tcPr>
          <w:p>
            <w:pPr>
              <w:pStyle w:val="TableContents"/>
              <w:bidi w:val="0"/>
              <w:spacing w:before="0" w:after="283"/>
              <w:jc w:val="left"/>
              <w:rPr>
                <w:b/>
              </w:rPr>
            </w:pPr>
            <w:r>
              <w:rPr>
                <w:b/>
              </w:rPr>
              <w:t>GAAP Other expenses (income)</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(507</w:t>
            </w:r>
          </w:p>
        </w:tc>
        <w:tc>
          <w:tcPr>
            <w:tcW w:w="283"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37</w:t>
            </w:r>
          </w:p>
        </w:tc>
        <w:tc>
          <w:tcPr>
            <w:tcW w:w="2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(247</w:t>
            </w:r>
          </w:p>
        </w:tc>
        <w:tc>
          <w:tcPr>
            <w:tcW w:w="348"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51</w:t>
            </w:r>
          </w:p>
        </w:tc>
        <w:tc>
          <w:tcPr>
            <w:tcW w:w="265" w:type="dxa"/>
            <w:tcBorders/>
            <w:shd w:fill="CCEEFF" w:val="clear"/>
            <w:vAlign w:val="center"/>
          </w:tcPr>
          <w:p>
            <w:pPr>
              <w:pStyle w:val="TableContents"/>
              <w:bidi w:val="0"/>
              <w:spacing w:before="0" w:after="283"/>
              <w:ind w:left="0" w:right="0" w:hanging="180"/>
              <w:jc w:val="left"/>
              <w:rPr/>
            </w:pPr>
            <w:r>
              <w:rPr/>
              <w:t> </w:t>
            </w:r>
          </w:p>
        </w:tc>
      </w:tr>
      <w:tr>
        <w:trPr/>
        <w:tc>
          <w:tcPr>
            <w:tcW w:w="5604" w:type="dxa"/>
            <w:tcBorders/>
            <w:shd w:fill="FFFFFF" w:val="clear"/>
            <w:vAlign w:val="center"/>
          </w:tcPr>
          <w:p>
            <w:pPr>
              <w:pStyle w:val="TableContents"/>
              <w:bidi w:val="0"/>
              <w:spacing w:before="0" w:after="283"/>
              <w:jc w:val="left"/>
              <w:rPr/>
            </w:pPr>
            <w:r>
              <w:rPr/>
              <w:t>Non-GAAP adjustments: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pPr>
            <w:r>
              <w:rPr/>
              <w:t> </w:t>
            </w:r>
          </w:p>
        </w:tc>
        <w:tc>
          <w:tcPr>
            <w:tcW w:w="283"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pPr>
            <w:r>
              <w:rPr/>
              <w:t> </w:t>
            </w:r>
          </w:p>
        </w:tc>
        <w:tc>
          <w:tcPr>
            <w:tcW w:w="34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ind w:left="0" w:right="0" w:hanging="180"/>
              <w:jc w:val="left"/>
              <w:rPr/>
            </w:pPr>
            <w:r>
              <w:rPr/>
              <w:t> </w:t>
            </w:r>
          </w:p>
        </w:tc>
      </w:tr>
      <w:tr>
        <w:trPr/>
        <w:tc>
          <w:tcPr>
            <w:tcW w:w="5604" w:type="dxa"/>
            <w:tcBorders/>
            <w:shd w:fill="CCEEFF" w:val="clear"/>
            <w:vAlign w:val="center"/>
          </w:tcPr>
          <w:p>
            <w:pPr>
              <w:pStyle w:val="TableContents"/>
              <w:bidi w:val="0"/>
              <w:spacing w:before="0" w:after="283"/>
              <w:jc w:val="left"/>
              <w:rPr/>
            </w:pPr>
            <w:r>
              <w:rPr/>
              <w:t>Change in accrual in connection with the settlement with a shareholder</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482</w:t>
            </w:r>
          </w:p>
        </w:tc>
        <w:tc>
          <w:tcPr>
            <w:tcW w:w="283"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w:t>
            </w:r>
          </w:p>
        </w:tc>
        <w:tc>
          <w:tcPr>
            <w:tcW w:w="2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243</w:t>
            </w:r>
          </w:p>
        </w:tc>
        <w:tc>
          <w:tcPr>
            <w:tcW w:w="34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w:t>
            </w:r>
          </w:p>
        </w:tc>
        <w:tc>
          <w:tcPr>
            <w:tcW w:w="265" w:type="dxa"/>
            <w:tcBorders/>
            <w:shd w:fill="CCEEFF" w:val="clear"/>
            <w:vAlign w:val="center"/>
          </w:tcPr>
          <w:p>
            <w:pPr>
              <w:pStyle w:val="TableContents"/>
              <w:bidi w:val="0"/>
              <w:spacing w:before="0" w:after="283"/>
              <w:ind w:left="0" w:right="0" w:hanging="180"/>
              <w:jc w:val="left"/>
              <w:rPr/>
            </w:pPr>
            <w:r>
              <w:rPr/>
              <w:t> </w:t>
            </w:r>
          </w:p>
        </w:tc>
      </w:tr>
      <w:tr>
        <w:trPr/>
        <w:tc>
          <w:tcPr>
            <w:tcW w:w="56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pPr>
            <w:r>
              <w:rPr/>
              <w:t> </w:t>
            </w:r>
          </w:p>
        </w:tc>
        <w:tc>
          <w:tcPr>
            <w:tcW w:w="283"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pPr>
            <w:r>
              <w:rPr/>
              <w:t> </w:t>
            </w:r>
          </w:p>
        </w:tc>
        <w:tc>
          <w:tcPr>
            <w:tcW w:w="2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pPr>
            <w:r>
              <w:rPr/>
              <w:t> </w:t>
            </w:r>
          </w:p>
        </w:tc>
        <w:tc>
          <w:tcPr>
            <w:tcW w:w="34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ind w:left="0" w:right="0" w:hanging="180"/>
              <w:jc w:val="left"/>
              <w:rPr/>
            </w:pPr>
            <w:r>
              <w:rPr/>
              <w:t> </w:t>
            </w:r>
          </w:p>
        </w:tc>
      </w:tr>
      <w:tr>
        <w:trPr/>
        <w:tc>
          <w:tcPr>
            <w:tcW w:w="5604" w:type="dxa"/>
            <w:tcBorders/>
            <w:shd w:fill="CCEEFF" w:val="clear"/>
            <w:vAlign w:val="center"/>
          </w:tcPr>
          <w:p>
            <w:pPr>
              <w:pStyle w:val="TableContents"/>
              <w:bidi w:val="0"/>
              <w:spacing w:before="0" w:after="283"/>
              <w:jc w:val="left"/>
              <w:rPr>
                <w:b/>
              </w:rPr>
            </w:pPr>
            <w:r>
              <w:rPr>
                <w:b/>
              </w:rPr>
              <w:t>Non-GAAP Other expenses (income)</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02" w:type="dxa"/>
            <w:tcBorders>
              <w:bottom w:val="double" w:sz="10" w:space="0" w:color="000000"/>
            </w:tcBorders>
            <w:shd w:fill="CCEEFF" w:val="clear"/>
            <w:tcMar>
              <w:bottom w:w="28" w:type="dxa"/>
            </w:tcMar>
            <w:vAlign w:val="center"/>
          </w:tcPr>
          <w:p>
            <w:pPr>
              <w:pStyle w:val="TableContents"/>
              <w:bidi w:val="0"/>
              <w:spacing w:before="0" w:after="283"/>
              <w:jc w:val="right"/>
              <w:rPr/>
            </w:pPr>
            <w:r>
              <w:rPr/>
              <w:t>(25</w:t>
            </w:r>
          </w:p>
        </w:tc>
        <w:tc>
          <w:tcPr>
            <w:tcW w:w="283"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02" w:type="dxa"/>
            <w:tcBorders>
              <w:bottom w:val="double" w:sz="10" w:space="0" w:color="000000"/>
            </w:tcBorders>
            <w:shd w:fill="CCEEFF" w:val="clear"/>
            <w:tcMar>
              <w:bottom w:w="28" w:type="dxa"/>
            </w:tcMar>
            <w:vAlign w:val="center"/>
          </w:tcPr>
          <w:p>
            <w:pPr>
              <w:pStyle w:val="TableContents"/>
              <w:bidi w:val="0"/>
              <w:spacing w:before="0" w:after="283"/>
              <w:jc w:val="right"/>
              <w:rPr/>
            </w:pPr>
            <w:r>
              <w:rPr/>
              <w:t>37</w:t>
            </w:r>
          </w:p>
        </w:tc>
        <w:tc>
          <w:tcPr>
            <w:tcW w:w="2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98" w:type="dxa"/>
            <w:tcBorders>
              <w:bottom w:val="double" w:sz="10" w:space="0" w:color="000000"/>
            </w:tcBorders>
            <w:shd w:fill="CCEEFF" w:val="clear"/>
            <w:tcMar>
              <w:bottom w:w="28" w:type="dxa"/>
            </w:tcMar>
            <w:vAlign w:val="center"/>
          </w:tcPr>
          <w:p>
            <w:pPr>
              <w:pStyle w:val="TableContents"/>
              <w:bidi w:val="0"/>
              <w:spacing w:before="0" w:after="283"/>
              <w:jc w:val="right"/>
              <w:rPr/>
            </w:pPr>
            <w:r>
              <w:rPr/>
              <w:t>(4</w:t>
            </w:r>
          </w:p>
        </w:tc>
        <w:tc>
          <w:tcPr>
            <w:tcW w:w="348"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7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04" w:type="dxa"/>
            <w:tcBorders>
              <w:bottom w:val="double" w:sz="10" w:space="0" w:color="000000"/>
            </w:tcBorders>
            <w:shd w:fill="CCEEFF" w:val="clear"/>
            <w:tcMar>
              <w:bottom w:w="28" w:type="dxa"/>
            </w:tcMar>
            <w:vAlign w:val="center"/>
          </w:tcPr>
          <w:p>
            <w:pPr>
              <w:pStyle w:val="TableContents"/>
              <w:bidi w:val="0"/>
              <w:spacing w:before="0" w:after="283"/>
              <w:jc w:val="right"/>
              <w:rPr/>
            </w:pPr>
            <w:r>
              <w:rPr/>
              <w:t>51</w:t>
            </w:r>
          </w:p>
        </w:tc>
        <w:tc>
          <w:tcPr>
            <w:tcW w:w="26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RECONCILIATION OF GAAP NET LOSS TO NON-GAAP NET LOSS AND TO ADJUSTED EBITDA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w:t>
      </w:r>
    </w:p>
    <w:p>
      <w:pPr>
        <w:pStyle w:val="TextBody"/>
        <w:bidi w:val="0"/>
        <w:spacing w:before="0" w:after="0"/>
        <w:ind w:left="0" w:right="0" w:hanging="0"/>
        <w:jc w:val="both"/>
        <w:rPr>
          <w:caps w:val="false"/>
          <w:smallCaps w:val="false"/>
        </w:rPr>
      </w:pPr>
      <w:r>
        <w:rPr>
          <w:caps w:val="false"/>
          <w:smallCaps w:val="false"/>
        </w:rPr>
        <w:t> </w:t>
      </w:r>
    </w:p>
    <w:tbl>
      <w:tblPr>
        <w:tblW w:w="6852" w:type="dxa"/>
        <w:jc w:val="left"/>
        <w:tblInd w:w="0" w:type="dxa"/>
        <w:tblLayout w:type="fixed"/>
        <w:tblCellMar>
          <w:top w:w="0" w:type="dxa"/>
          <w:left w:w="0" w:type="dxa"/>
          <w:bottom w:w="0" w:type="dxa"/>
          <w:right w:w="0" w:type="dxa"/>
        </w:tblCellMar>
      </w:tblPr>
      <w:tblGrid>
        <w:gridCol w:w="4475"/>
        <w:gridCol w:w="60"/>
        <w:gridCol w:w="74"/>
        <w:gridCol w:w="934"/>
        <w:gridCol w:w="117"/>
        <w:gridCol w:w="74"/>
        <w:gridCol w:w="74"/>
        <w:gridCol w:w="934"/>
        <w:gridCol w:w="110"/>
      </w:tblGrid>
      <w:tr>
        <w:trPr/>
        <w:tc>
          <w:tcPr>
            <w:tcW w:w="4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110"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7"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00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b/>
              </w:rPr>
            </w:pPr>
            <w:r>
              <w:rPr>
                <w:b/>
              </w:rPr>
              <w:t>GAAP NET LOSS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(55,487</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(14,722</w:t>
            </w:r>
          </w:p>
        </w:tc>
        <w:tc>
          <w:tcPr>
            <w:tcW w:w="110" w:type="dxa"/>
            <w:tcBorders/>
            <w:shd w:fill="CCEEFF" w:val="clear"/>
            <w:vAlign w:val="center"/>
          </w:tcPr>
          <w:p>
            <w:pPr>
              <w:pStyle w:val="TableContents"/>
              <w:bidi w:val="0"/>
              <w:spacing w:before="0" w:after="283"/>
              <w:jc w:val="left"/>
              <w:rPr/>
            </w:pPr>
            <w:r>
              <w:rPr/>
              <w:t>)</w:t>
            </w:r>
          </w:p>
        </w:tc>
      </w:tr>
      <w:tr>
        <w:trPr/>
        <w:tc>
          <w:tcPr>
            <w:tcW w:w="4475" w:type="dxa"/>
            <w:tcBorders/>
            <w:shd w:fill="FFFFFF" w:val="clear"/>
            <w:vAlign w:val="center"/>
          </w:tcPr>
          <w:p>
            <w:pPr>
              <w:pStyle w:val="TableContents"/>
              <w:bidi w:val="0"/>
              <w:spacing w:before="0" w:after="283"/>
              <w:jc w:val="left"/>
              <w:rPr/>
            </w:pPr>
            <w:r>
              <w:rPr/>
              <w:t>Impairment of intangible assets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40,695</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869</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1,111</w:t>
            </w:r>
          </w:p>
        </w:tc>
        <w:tc>
          <w:tcPr>
            <w:tcW w:w="11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2,505</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2,653</w:t>
            </w:r>
          </w:p>
        </w:tc>
        <w:tc>
          <w:tcPr>
            <w:tcW w:w="11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Income related to settlement with a shareholder</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(243</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Class-action litigation</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15</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Changes in earnout liability</w:t>
            </w:r>
          </w:p>
        </w:tc>
        <w:tc>
          <w:tcPr>
            <w:tcW w:w="60" w:type="dxa"/>
            <w:tcBorders/>
            <w:shd w:fill="CCEEFF" w:val="clear"/>
            <w:vAlign w:val="center"/>
          </w:tcPr>
          <w:p>
            <w:pPr>
              <w:pStyle w:val="TableContents"/>
              <w:bidi w:val="0"/>
              <w:spacing w:before="0" w:after="283"/>
              <w:jc w:val="left"/>
              <w:rPr/>
            </w:pPr>
            <w:r>
              <w:rPr/>
              <w:t> </w:t>
            </w:r>
          </w:p>
        </w:tc>
        <w:tc>
          <w:tcPr>
            <w:tcW w:w="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b/>
              </w:rPr>
            </w:pPr>
            <w:r>
              <w:rPr>
                <w:b/>
              </w:rPr>
              <w:t>NON-GAAP NET LOSS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(11,647</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(10,958</w:t>
            </w:r>
          </w:p>
        </w:tc>
        <w:tc>
          <w:tcPr>
            <w:tcW w:w="110" w:type="dxa"/>
            <w:tcBorders/>
            <w:shd w:fill="FFFFFF" w:val="clear"/>
            <w:vAlign w:val="center"/>
          </w:tcPr>
          <w:p>
            <w:pPr>
              <w:pStyle w:val="TableContents"/>
              <w:bidi w:val="0"/>
              <w:spacing w:before="0" w:after="283"/>
              <w:jc w:val="left"/>
              <w:rPr/>
            </w:pPr>
            <w:r>
              <w:rPr/>
              <w:t>)</w:t>
            </w:r>
          </w:p>
        </w:tc>
      </w:tr>
      <w:tr>
        <w:trPr/>
        <w:tc>
          <w:tcPr>
            <w:tcW w:w="4475"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314</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296</w:t>
            </w:r>
          </w:p>
        </w:tc>
        <w:tc>
          <w:tcPr>
            <w:tcW w:w="11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Income tax expenses (benefit)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(51</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82</w:t>
            </w:r>
          </w:p>
        </w:tc>
        <w:tc>
          <w:tcPr>
            <w:tcW w:w="11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Financial expenses</w:t>
            </w:r>
          </w:p>
        </w:tc>
        <w:tc>
          <w:tcPr>
            <w:tcW w:w="60" w:type="dxa"/>
            <w:tcBorders/>
            <w:shd w:fill="CCEEFF" w:val="clear"/>
            <w:vAlign w:val="center"/>
          </w:tcPr>
          <w:p>
            <w:pPr>
              <w:pStyle w:val="TableContents"/>
              <w:bidi w:val="0"/>
              <w:spacing w:before="0" w:after="283"/>
              <w:jc w:val="left"/>
              <w:rPr/>
            </w:pPr>
            <w:r>
              <w:rPr/>
              <w:t> </w:t>
            </w:r>
          </w:p>
        </w:tc>
        <w:tc>
          <w:tcPr>
            <w:tcW w:w="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pPr>
            <w:r>
              <w:rPr/>
              <w:t>61</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pPr>
            <w:r>
              <w:rPr/>
              <w:t>149</w:t>
            </w:r>
          </w:p>
        </w:tc>
        <w:tc>
          <w:tcPr>
            <w:tcW w:w="11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b/>
              </w:rPr>
            </w:pPr>
            <w:r>
              <w:rPr>
                <w:b/>
              </w:rPr>
              <w:t>ADJUSTED EBITDA</w:t>
            </w:r>
          </w:p>
        </w:tc>
        <w:tc>
          <w:tcPr>
            <w:tcW w:w="60" w:type="dxa"/>
            <w:tcBorders/>
            <w:shd w:fill="FFFFFF" w:val="clear"/>
            <w:vAlign w:val="center"/>
          </w:tcPr>
          <w:p>
            <w:pPr>
              <w:pStyle w:val="TableContents"/>
              <w:bidi w:val="0"/>
              <w:spacing w:before="0" w:after="283"/>
              <w:jc w:val="left"/>
              <w:rPr/>
            </w:pPr>
            <w:r>
              <w:rPr/>
              <w:t> </w:t>
            </w:r>
          </w:p>
        </w:tc>
        <w:tc>
          <w:tcPr>
            <w:tcW w:w="7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double" w:sz="10" w:space="0" w:color="000000"/>
            </w:tcBorders>
            <w:shd w:fill="FFFFFF" w:val="clear"/>
            <w:tcMar>
              <w:bottom w:w="28" w:type="dxa"/>
            </w:tcMar>
            <w:vAlign w:val="center"/>
          </w:tcPr>
          <w:p>
            <w:pPr>
              <w:pStyle w:val="TableContents"/>
              <w:bidi w:val="0"/>
              <w:spacing w:before="0" w:after="283"/>
              <w:jc w:val="right"/>
              <w:rPr/>
            </w:pPr>
            <w:r>
              <w:rPr/>
              <w:t>(11,323</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7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double" w:sz="10" w:space="0" w:color="000000"/>
            </w:tcBorders>
            <w:shd w:fill="FFFFFF" w:val="clear"/>
            <w:tcMar>
              <w:bottom w:w="28" w:type="dxa"/>
            </w:tcMar>
            <w:vAlign w:val="center"/>
          </w:tcPr>
          <w:p>
            <w:pPr>
              <w:pStyle w:val="TableContents"/>
              <w:bidi w:val="0"/>
              <w:spacing w:before="0" w:after="283"/>
              <w:jc w:val="right"/>
              <w:rPr/>
            </w:pPr>
            <w:r>
              <w:rPr/>
              <w:t>(10,431</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Mike Cavanaugh, ICR Healthcare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mike.cavanaugh@icrhealthcare.com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ea030482601ex99-2.htm"/>
      <w:bookmarkStart w:id="5" w:name="ksea030482601ex992"/>
      <w:bookmarkEnd w:id="4"/>
      <w:bookmarkEnd w:id="5"/>
      <w:r>
        <w:rPr>
          <w:rFonts w:ascii="Times New Roman;Times;Serif" w:hAnsi="Times New Roman;Times;Serif"/>
          <w:b/>
          <w:i w:val="false"/>
          <w:caps w:val="false"/>
          <w:smallCaps w:val="false"/>
          <w:sz w:val="20"/>
        </w:rPr>
        <w:t>Exhibit 99.2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IMAGING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03"/>
        <w:gridCol w:w="60"/>
        <w:gridCol w:w="60"/>
        <w:gridCol w:w="878"/>
        <w:gridCol w:w="95"/>
        <w:gridCol w:w="60"/>
        <w:gridCol w:w="91"/>
        <w:gridCol w:w="1346"/>
        <w:gridCol w:w="112"/>
      </w:tblGrid>
      <w:tr>
        <w:trPr/>
        <w:tc>
          <w:tcPr>
            <w:tcW w:w="75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12" w:type="dxa"/>
            <w:tcBorders/>
            <w:vAlign w:val="center"/>
          </w:tcPr>
          <w:p>
            <w:pPr>
              <w:pStyle w:val="TableContents"/>
              <w:bidi w:val="0"/>
              <w:spacing w:before="0" w:after="283"/>
              <w:jc w:val="left"/>
              <w:rPr/>
            </w:pPr>
            <w:r>
              <w:rPr/>
              <w:t> </w:t>
            </w:r>
          </w:p>
        </w:tc>
      </w:tr>
      <w:tr>
        <w:trPr/>
        <w:tc>
          <w:tcPr>
            <w:tcW w:w="75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U.S. Dollars in thousands</w:t>
            </w:r>
          </w:p>
        </w:tc>
        <w:tc>
          <w:tcPr>
            <w:tcW w:w="112" w:type="dxa"/>
            <w:tcBorders/>
            <w:vAlign w:val="center"/>
          </w:tcPr>
          <w:p>
            <w:pPr>
              <w:pStyle w:val="TableContents"/>
              <w:bidi w:val="0"/>
              <w:spacing w:before="0" w:after="283"/>
              <w:jc w:val="left"/>
              <w:rPr/>
            </w:pPr>
            <w:r>
              <w:rPr/>
              <w:t> </w:t>
            </w:r>
          </w:p>
        </w:tc>
      </w:tr>
      <w:tr>
        <w:trPr/>
        <w:tc>
          <w:tcPr>
            <w:tcW w:w="7503" w:type="dxa"/>
            <w:tcBorders/>
            <w:vAlign w:val="center"/>
          </w:tcPr>
          <w:p>
            <w:pPr>
              <w:pStyle w:val="TableContents"/>
              <w:bidi w:val="0"/>
              <w:spacing w:before="0" w:after="283"/>
              <w:jc w:val="center"/>
              <w:rPr>
                <w:b/>
              </w:rPr>
            </w:pPr>
            <w:r>
              <w:rPr>
                <w:b/>
              </w:rPr>
              <w:t>Assets</w:t>
            </w:r>
          </w:p>
        </w:tc>
        <w:tc>
          <w:tcPr>
            <w:tcW w:w="60" w:type="dxa"/>
            <w:tcBorders/>
            <w:vAlign w:val="center"/>
          </w:tcPr>
          <w:p>
            <w:pPr>
              <w:pStyle w:val="TableContents"/>
              <w:bidi w:val="0"/>
              <w:spacing w:before="0" w:after="283"/>
              <w:jc w:val="left"/>
              <w:rPr/>
            </w:pPr>
            <w:r>
              <w:rPr/>
              <w:t> </w:t>
            </w:r>
          </w:p>
        </w:tc>
        <w:tc>
          <w:tcPr>
            <w:tcW w:w="938"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7"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7503"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938"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7"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r>
      <w:tr>
        <w:trPr/>
        <w:tc>
          <w:tcPr>
            <w:tcW w:w="7503"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31,023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49,151</w:t>
            </w:r>
          </w:p>
        </w:tc>
        <w:tc>
          <w:tcPr>
            <w:tcW w:w="112" w:type="dxa"/>
            <w:tcBorders/>
            <w:shd w:fill="CCEEFF" w:val="clear"/>
            <w:vAlign w:val="center"/>
          </w:tcPr>
          <w:p>
            <w:pPr>
              <w:pStyle w:val="TableContents"/>
              <w:bidi w:val="0"/>
              <w:spacing w:before="0" w:after="283"/>
              <w:jc w:val="left"/>
              <w:rPr/>
            </w:pPr>
            <w:r>
              <w:rPr/>
              <w:t> </w:t>
            </w:r>
          </w:p>
        </w:tc>
      </w:tr>
      <w:tr>
        <w:trPr/>
        <w:tc>
          <w:tcPr>
            <w:tcW w:w="7503" w:type="dxa"/>
            <w:tcBorders/>
            <w:shd w:fill="FFFFFF" w:val="clear"/>
            <w:vAlign w:val="center"/>
          </w:tcPr>
          <w:p>
            <w:pPr>
              <w:pStyle w:val="TableContents"/>
              <w:bidi w:val="0"/>
              <w:spacing w:before="0" w:after="283"/>
              <w:jc w:val="left"/>
              <w:rPr/>
            </w:pPr>
            <w:r>
              <w:rPr/>
              <w:t>Short-term deposits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10,459</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7503" w:type="dxa"/>
            <w:tcBorders/>
            <w:shd w:fill="CCEEFF" w:val="clear"/>
            <w:vAlign w:val="center"/>
          </w:tcPr>
          <w:p>
            <w:pPr>
              <w:pStyle w:val="TableContents"/>
              <w:bidi w:val="0"/>
              <w:spacing w:before="0" w:after="283"/>
              <w:jc w:val="left"/>
              <w:rPr/>
            </w:pPr>
            <w:r>
              <w:rPr/>
              <w:t>Accounts receivables net of allowance for credit losses of $371 as of June 30, 2026, and $367 December 31, 2025, respectively.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1,887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2,013</w:t>
            </w:r>
          </w:p>
        </w:tc>
        <w:tc>
          <w:tcPr>
            <w:tcW w:w="112" w:type="dxa"/>
            <w:tcBorders/>
            <w:shd w:fill="CCEEFF" w:val="clear"/>
            <w:vAlign w:val="center"/>
          </w:tcPr>
          <w:p>
            <w:pPr>
              <w:pStyle w:val="TableContents"/>
              <w:bidi w:val="0"/>
              <w:spacing w:before="0" w:after="283"/>
              <w:jc w:val="left"/>
              <w:rPr/>
            </w:pPr>
            <w:r>
              <w:rPr/>
              <w:t> </w:t>
            </w:r>
          </w:p>
        </w:tc>
      </w:tr>
      <w:tr>
        <w:trPr/>
        <w:tc>
          <w:tcPr>
            <w:tcW w:w="7503"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pPr>
            <w:r>
              <w:rPr/>
              <w:t>3,418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3,070</w:t>
            </w:r>
          </w:p>
        </w:tc>
        <w:tc>
          <w:tcPr>
            <w:tcW w:w="112" w:type="dxa"/>
            <w:tcBorders/>
            <w:shd w:fill="FFFFFF" w:val="clear"/>
            <w:vAlign w:val="center"/>
          </w:tcPr>
          <w:p>
            <w:pPr>
              <w:pStyle w:val="TableContents"/>
              <w:bidi w:val="0"/>
              <w:spacing w:before="0" w:after="283"/>
              <w:jc w:val="left"/>
              <w:rPr/>
            </w:pPr>
            <w:r>
              <w:rPr/>
              <w:t> </w:t>
            </w:r>
          </w:p>
        </w:tc>
      </w:tr>
      <w:tr>
        <w:trPr/>
        <w:tc>
          <w:tcPr>
            <w:tcW w:w="7503"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918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1,255</w:t>
            </w:r>
          </w:p>
        </w:tc>
        <w:tc>
          <w:tcPr>
            <w:tcW w:w="112" w:type="dxa"/>
            <w:tcBorders/>
            <w:shd w:fill="CCEEFF" w:val="clear"/>
            <w:vAlign w:val="center"/>
          </w:tcPr>
          <w:p>
            <w:pPr>
              <w:pStyle w:val="TableContents"/>
              <w:bidi w:val="0"/>
              <w:spacing w:before="0" w:after="283"/>
              <w:jc w:val="left"/>
              <w:rPr/>
            </w:pPr>
            <w:r>
              <w:rPr/>
              <w:t> </w:t>
            </w:r>
          </w:p>
        </w:tc>
      </w:tr>
      <w:tr>
        <w:trPr/>
        <w:tc>
          <w:tcPr>
            <w:tcW w:w="7503"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8" w:type="dxa"/>
            <w:tcBorders>
              <w:bottom w:val="single" w:sz="12" w:space="0" w:color="000000"/>
            </w:tcBorders>
            <w:shd w:fill="FFFFFF" w:val="clear"/>
            <w:tcMar>
              <w:bottom w:w="28" w:type="dxa"/>
            </w:tcMar>
            <w:vAlign w:val="center"/>
          </w:tcPr>
          <w:p>
            <w:pPr>
              <w:pStyle w:val="TableContents"/>
              <w:bidi w:val="0"/>
              <w:spacing w:before="0" w:after="283"/>
              <w:jc w:val="right"/>
              <w:rPr/>
            </w:pPr>
            <w:r>
              <w:rPr/>
              <w:t>1,740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6" w:type="dxa"/>
            <w:tcBorders>
              <w:bottom w:val="single" w:sz="12" w:space="0" w:color="000000"/>
            </w:tcBorders>
            <w:shd w:fill="FFFFFF" w:val="clear"/>
            <w:tcMar>
              <w:bottom w:w="28" w:type="dxa"/>
            </w:tcMar>
            <w:vAlign w:val="center"/>
          </w:tcPr>
          <w:p>
            <w:pPr>
              <w:pStyle w:val="TableContents"/>
              <w:bidi w:val="0"/>
              <w:spacing w:before="0" w:after="283"/>
              <w:jc w:val="right"/>
              <w:rPr/>
            </w:pPr>
            <w:r>
              <w:rPr/>
              <w:t>845</w:t>
            </w:r>
          </w:p>
        </w:tc>
        <w:tc>
          <w:tcPr>
            <w:tcW w:w="112" w:type="dxa"/>
            <w:tcBorders/>
            <w:shd w:fill="FFFFFF" w:val="clear"/>
            <w:vAlign w:val="center"/>
          </w:tcPr>
          <w:p>
            <w:pPr>
              <w:pStyle w:val="TableContents"/>
              <w:bidi w:val="0"/>
              <w:spacing w:before="0" w:after="283"/>
              <w:jc w:val="left"/>
              <w:rPr/>
            </w:pPr>
            <w:r>
              <w:rPr/>
              <w:t> </w:t>
            </w:r>
          </w:p>
        </w:tc>
      </w:tr>
      <w:tr>
        <w:trPr/>
        <w:tc>
          <w:tcPr>
            <w:tcW w:w="7503"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8" w:type="dxa"/>
            <w:tcBorders>
              <w:bottom w:val="single" w:sz="12" w:space="0" w:color="000000"/>
            </w:tcBorders>
            <w:shd w:fill="CCEEFF" w:val="clear"/>
            <w:tcMar>
              <w:bottom w:w="28" w:type="dxa"/>
            </w:tcMar>
            <w:vAlign w:val="center"/>
          </w:tcPr>
          <w:p>
            <w:pPr>
              <w:pStyle w:val="TableContents"/>
              <w:bidi w:val="0"/>
              <w:spacing w:before="0" w:after="283"/>
              <w:jc w:val="right"/>
              <w:rPr/>
            </w:pPr>
            <w:r>
              <w:rPr/>
              <w:t>38,986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6" w:type="dxa"/>
            <w:tcBorders>
              <w:bottom w:val="single" w:sz="12" w:space="0" w:color="000000"/>
            </w:tcBorders>
            <w:shd w:fill="CCEEFF" w:val="clear"/>
            <w:tcMar>
              <w:bottom w:w="28" w:type="dxa"/>
            </w:tcMar>
            <w:vAlign w:val="center"/>
          </w:tcPr>
          <w:p>
            <w:pPr>
              <w:pStyle w:val="TableContents"/>
              <w:bidi w:val="0"/>
              <w:spacing w:before="0" w:after="283"/>
              <w:jc w:val="right"/>
              <w:rPr/>
            </w:pPr>
            <w:r>
              <w:rPr/>
              <w:t>66,793</w:t>
            </w:r>
          </w:p>
        </w:tc>
        <w:tc>
          <w:tcPr>
            <w:tcW w:w="112" w:type="dxa"/>
            <w:tcBorders/>
            <w:shd w:fill="CCEEFF" w:val="clear"/>
            <w:vAlign w:val="center"/>
          </w:tcPr>
          <w:p>
            <w:pPr>
              <w:pStyle w:val="TableContents"/>
              <w:bidi w:val="0"/>
              <w:spacing w:before="0" w:after="283"/>
              <w:jc w:val="left"/>
              <w:rPr/>
            </w:pPr>
            <w:r>
              <w:rPr/>
              <w:t> </w:t>
            </w:r>
          </w:p>
        </w:tc>
      </w:tr>
      <w:tr>
        <w:trPr/>
        <w:tc>
          <w:tcPr>
            <w:tcW w:w="75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503" w:type="dxa"/>
            <w:tcBorders/>
            <w:shd w:fill="CCEEFF" w:val="clear"/>
            <w:vAlign w:val="center"/>
          </w:tcPr>
          <w:p>
            <w:pPr>
              <w:pStyle w:val="TableContents"/>
              <w:bidi w:val="0"/>
              <w:spacing w:before="0" w:after="283"/>
              <w:jc w:val="left"/>
              <w:rPr>
                <w:b/>
              </w:rPr>
            </w:pPr>
            <w:r>
              <w:rPr>
                <w:b/>
              </w:rPr>
              <w:t>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503" w:type="dxa"/>
            <w:tcBorders/>
            <w:shd w:fill="FFFFFF" w:val="clear"/>
            <w:vAlign w:val="center"/>
          </w:tcPr>
          <w:p>
            <w:pPr>
              <w:pStyle w:val="TableContents"/>
              <w:bidi w:val="0"/>
              <w:spacing w:before="0" w:after="283"/>
              <w:jc w:val="left"/>
              <w:rPr/>
            </w:pPr>
            <w:r>
              <w:rPr/>
              <w:t>Restricted deposit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pPr>
            <w:r>
              <w:rPr/>
              <w:t>394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361</w:t>
            </w:r>
          </w:p>
        </w:tc>
        <w:tc>
          <w:tcPr>
            <w:tcW w:w="112" w:type="dxa"/>
            <w:tcBorders/>
            <w:shd w:fill="FFFFFF" w:val="clear"/>
            <w:vAlign w:val="center"/>
          </w:tcPr>
          <w:p>
            <w:pPr>
              <w:pStyle w:val="TableContents"/>
              <w:bidi w:val="0"/>
              <w:spacing w:before="0" w:after="283"/>
              <w:jc w:val="left"/>
              <w:rPr/>
            </w:pPr>
            <w:r>
              <w:rPr/>
              <w:t> </w:t>
            </w:r>
          </w:p>
        </w:tc>
      </w:tr>
      <w:tr>
        <w:trPr/>
        <w:tc>
          <w:tcPr>
            <w:tcW w:w="7503"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31,614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29,677</w:t>
            </w:r>
          </w:p>
        </w:tc>
        <w:tc>
          <w:tcPr>
            <w:tcW w:w="112" w:type="dxa"/>
            <w:tcBorders/>
            <w:shd w:fill="CCEEFF" w:val="clear"/>
            <w:vAlign w:val="center"/>
          </w:tcPr>
          <w:p>
            <w:pPr>
              <w:pStyle w:val="TableContents"/>
              <w:bidi w:val="0"/>
              <w:spacing w:before="0" w:after="283"/>
              <w:jc w:val="left"/>
              <w:rPr/>
            </w:pPr>
            <w:r>
              <w:rPr/>
              <w:t> </w:t>
            </w:r>
          </w:p>
        </w:tc>
      </w:tr>
      <w:tr>
        <w:trPr/>
        <w:tc>
          <w:tcPr>
            <w:tcW w:w="7503"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pPr>
            <w:r>
              <w:rPr/>
              <w:t>316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316</w:t>
            </w:r>
          </w:p>
        </w:tc>
        <w:tc>
          <w:tcPr>
            <w:tcW w:w="112" w:type="dxa"/>
            <w:tcBorders/>
            <w:shd w:fill="FFFFFF" w:val="clear"/>
            <w:vAlign w:val="center"/>
          </w:tcPr>
          <w:p>
            <w:pPr>
              <w:pStyle w:val="TableContents"/>
              <w:bidi w:val="0"/>
              <w:spacing w:before="0" w:after="283"/>
              <w:jc w:val="left"/>
              <w:rPr/>
            </w:pPr>
            <w:r>
              <w:rPr/>
              <w:t> </w:t>
            </w:r>
          </w:p>
        </w:tc>
      </w:tr>
      <w:tr>
        <w:trPr/>
        <w:tc>
          <w:tcPr>
            <w:tcW w:w="7503" w:type="dxa"/>
            <w:tcBorders/>
            <w:shd w:fill="CCEEFF" w:val="clear"/>
            <w:vAlign w:val="center"/>
          </w:tcPr>
          <w:p>
            <w:pPr>
              <w:pStyle w:val="TableContents"/>
              <w:bidi w:val="0"/>
              <w:spacing w:before="0" w:after="283"/>
              <w:jc w:val="left"/>
              <w:rPr/>
            </w:pPr>
            <w:r>
              <w:rPr/>
              <w:t>Operating lease right-of-use asset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3,311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3,518</w:t>
            </w:r>
          </w:p>
        </w:tc>
        <w:tc>
          <w:tcPr>
            <w:tcW w:w="112" w:type="dxa"/>
            <w:tcBorders/>
            <w:shd w:fill="CCEEFF" w:val="clear"/>
            <w:vAlign w:val="center"/>
          </w:tcPr>
          <w:p>
            <w:pPr>
              <w:pStyle w:val="TableContents"/>
              <w:bidi w:val="0"/>
              <w:spacing w:before="0" w:after="283"/>
              <w:jc w:val="left"/>
              <w:rPr/>
            </w:pPr>
            <w:r>
              <w:rPr/>
              <w:t> </w:t>
            </w:r>
          </w:p>
        </w:tc>
      </w:tr>
      <w:tr>
        <w:trPr/>
        <w:tc>
          <w:tcPr>
            <w:tcW w:w="7503" w:type="dxa"/>
            <w:tcBorders/>
            <w:shd w:fill="FFFFFF" w:val="clear"/>
            <w:vAlign w:val="center"/>
          </w:tcPr>
          <w:p>
            <w:pPr>
              <w:pStyle w:val="TableContents"/>
              <w:bidi w:val="0"/>
              <w:spacing w:before="0" w:after="283"/>
              <w:jc w:val="left"/>
              <w:rPr/>
            </w:pPr>
            <w:r>
              <w:rPr/>
              <w:t>Intangible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pPr>
            <w:r>
              <w:rPr/>
              <w:t>14,164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59,868</w:t>
            </w:r>
          </w:p>
        </w:tc>
        <w:tc>
          <w:tcPr>
            <w:tcW w:w="112" w:type="dxa"/>
            <w:tcBorders/>
            <w:shd w:fill="FFFFFF" w:val="clear"/>
            <w:vAlign w:val="center"/>
          </w:tcPr>
          <w:p>
            <w:pPr>
              <w:pStyle w:val="TableContents"/>
              <w:bidi w:val="0"/>
              <w:spacing w:before="0" w:after="283"/>
              <w:jc w:val="left"/>
              <w:rPr/>
            </w:pPr>
            <w:r>
              <w:rPr/>
              <w:t> </w:t>
            </w:r>
          </w:p>
        </w:tc>
      </w:tr>
      <w:tr>
        <w:trPr/>
        <w:tc>
          <w:tcPr>
            <w:tcW w:w="7503"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8" w:type="dxa"/>
            <w:tcBorders>
              <w:bottom w:val="single" w:sz="12" w:space="0" w:color="000000"/>
            </w:tcBorders>
            <w:shd w:fill="CCEEFF" w:val="clear"/>
            <w:tcMar>
              <w:bottom w:w="28" w:type="dxa"/>
            </w:tcMar>
            <w:vAlign w:val="center"/>
          </w:tcPr>
          <w:p>
            <w:pPr>
              <w:pStyle w:val="TableContents"/>
              <w:bidi w:val="0"/>
              <w:spacing w:before="0" w:after="283"/>
              <w:jc w:val="right"/>
              <w:rPr/>
            </w:pPr>
            <w:r>
              <w:rPr/>
              <w:t>2,400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6" w:type="dxa"/>
            <w:tcBorders>
              <w:bottom w:val="single" w:sz="12" w:space="0" w:color="000000"/>
            </w:tcBorders>
            <w:shd w:fill="CCEEFF" w:val="clear"/>
            <w:tcMar>
              <w:bottom w:w="28" w:type="dxa"/>
            </w:tcMar>
            <w:vAlign w:val="center"/>
          </w:tcPr>
          <w:p>
            <w:pPr>
              <w:pStyle w:val="TableContents"/>
              <w:bidi w:val="0"/>
              <w:spacing w:before="0" w:after="283"/>
              <w:jc w:val="right"/>
              <w:rPr/>
            </w:pPr>
            <w:r>
              <w:rPr/>
              <w:t>1,632</w:t>
            </w:r>
          </w:p>
        </w:tc>
        <w:tc>
          <w:tcPr>
            <w:tcW w:w="112" w:type="dxa"/>
            <w:tcBorders/>
            <w:shd w:fill="CCEEFF" w:val="clear"/>
            <w:vAlign w:val="center"/>
          </w:tcPr>
          <w:p>
            <w:pPr>
              <w:pStyle w:val="TableContents"/>
              <w:bidi w:val="0"/>
              <w:spacing w:before="0" w:after="283"/>
              <w:jc w:val="left"/>
              <w:rPr/>
            </w:pPr>
            <w:r>
              <w:rPr/>
              <w:t> </w:t>
            </w:r>
          </w:p>
        </w:tc>
      </w:tr>
      <w:tr>
        <w:trPr/>
        <w:tc>
          <w:tcPr>
            <w:tcW w:w="7503" w:type="dxa"/>
            <w:tcBorders/>
            <w:shd w:fill="FFFFFF" w:val="clear"/>
            <w:vAlign w:val="center"/>
          </w:tcPr>
          <w:p>
            <w:pPr>
              <w:pStyle w:val="TableContents"/>
              <w:bidi w:val="0"/>
              <w:spacing w:before="0" w:after="283"/>
              <w:jc w:val="left"/>
              <w:rPr>
                <w:b/>
              </w:rPr>
            </w:pPr>
            <w:r>
              <w:rPr>
                <w:b/>
              </w:rPr>
              <w:t>TOTAL 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8" w:type="dxa"/>
            <w:tcBorders>
              <w:bottom w:val="single" w:sz="12" w:space="0" w:color="000000"/>
            </w:tcBorders>
            <w:shd w:fill="FFFFFF" w:val="clear"/>
            <w:tcMar>
              <w:bottom w:w="28" w:type="dxa"/>
            </w:tcMar>
            <w:vAlign w:val="center"/>
          </w:tcPr>
          <w:p>
            <w:pPr>
              <w:pStyle w:val="TableContents"/>
              <w:bidi w:val="0"/>
              <w:spacing w:before="0" w:after="283"/>
              <w:jc w:val="right"/>
              <w:rPr/>
            </w:pPr>
            <w:r>
              <w:rPr/>
              <w:t>52,199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6" w:type="dxa"/>
            <w:tcBorders>
              <w:bottom w:val="single" w:sz="12" w:space="0" w:color="000000"/>
            </w:tcBorders>
            <w:shd w:fill="FFFFFF" w:val="clear"/>
            <w:tcMar>
              <w:bottom w:w="28" w:type="dxa"/>
            </w:tcMar>
            <w:vAlign w:val="center"/>
          </w:tcPr>
          <w:p>
            <w:pPr>
              <w:pStyle w:val="TableContents"/>
              <w:bidi w:val="0"/>
              <w:spacing w:before="0" w:after="283"/>
              <w:jc w:val="right"/>
              <w:rPr/>
            </w:pPr>
            <w:r>
              <w:rPr/>
              <w:t>95,372</w:t>
            </w:r>
          </w:p>
        </w:tc>
        <w:tc>
          <w:tcPr>
            <w:tcW w:w="112" w:type="dxa"/>
            <w:tcBorders/>
            <w:shd w:fill="FFFFFF" w:val="clear"/>
            <w:vAlign w:val="center"/>
          </w:tcPr>
          <w:p>
            <w:pPr>
              <w:pStyle w:val="TableContents"/>
              <w:bidi w:val="0"/>
              <w:spacing w:before="0" w:after="283"/>
              <w:jc w:val="left"/>
              <w:rPr/>
            </w:pPr>
            <w:r>
              <w:rPr/>
              <w:t> </w:t>
            </w:r>
          </w:p>
        </w:tc>
      </w:tr>
      <w:tr>
        <w:trPr/>
        <w:tc>
          <w:tcPr>
            <w:tcW w:w="7503"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8" w:type="dxa"/>
            <w:tcBorders>
              <w:bottom w:val="double" w:sz="10" w:space="0" w:color="000000"/>
            </w:tcBorders>
            <w:shd w:fill="CCEEFF" w:val="clear"/>
            <w:tcMar>
              <w:bottom w:w="28" w:type="dxa"/>
            </w:tcMar>
            <w:vAlign w:val="center"/>
          </w:tcPr>
          <w:p>
            <w:pPr>
              <w:pStyle w:val="TableContents"/>
              <w:bidi w:val="0"/>
              <w:spacing w:before="0" w:after="283"/>
              <w:jc w:val="right"/>
              <w:rPr/>
            </w:pPr>
            <w:r>
              <w:rPr/>
              <w:t>91,185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6" w:type="dxa"/>
            <w:tcBorders>
              <w:bottom w:val="double" w:sz="10" w:space="0" w:color="000000"/>
            </w:tcBorders>
            <w:shd w:fill="CCEEFF" w:val="clear"/>
            <w:tcMar>
              <w:bottom w:w="28" w:type="dxa"/>
            </w:tcMar>
            <w:vAlign w:val="center"/>
          </w:tcPr>
          <w:p>
            <w:pPr>
              <w:pStyle w:val="TableContents"/>
              <w:bidi w:val="0"/>
              <w:spacing w:before="0" w:after="283"/>
              <w:jc w:val="right"/>
              <w:rPr/>
            </w:pPr>
            <w:r>
              <w:rPr/>
              <w:t>162,165</w:t>
            </w:r>
          </w:p>
        </w:tc>
        <w:tc>
          <w:tcPr>
            <w:tcW w:w="112" w:type="dxa"/>
            <w:tcBorders/>
            <w:shd w:fill="CCEEFF" w:val="clear"/>
            <w:vAlign w:val="center"/>
          </w:tcPr>
          <w:p>
            <w:pPr>
              <w:pStyle w:val="TableContents"/>
              <w:bidi w:val="0"/>
              <w:spacing w:before="0" w:after="283"/>
              <w:jc w:val="left"/>
              <w:rPr/>
            </w:pPr>
            <w:r>
              <w:rPr/>
              <w:t> </w:t>
            </w:r>
          </w:p>
        </w:tc>
      </w:tr>
      <w:tr>
        <w:trPr/>
        <w:tc>
          <w:tcPr>
            <w:tcW w:w="75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503" w:type="dxa"/>
            <w:tcBorders/>
            <w:shd w:fill="CCEEFF" w:val="clear"/>
            <w:vAlign w:val="center"/>
          </w:tcPr>
          <w:p>
            <w:pPr>
              <w:pStyle w:val="TableContents"/>
              <w:bidi w:val="0"/>
              <w:spacing w:before="0" w:after="283"/>
              <w:jc w:val="center"/>
              <w:rPr>
                <w:b/>
              </w:rPr>
            </w:pPr>
            <w:r>
              <w:rPr>
                <w:b/>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503"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503" w:type="dxa"/>
            <w:tcBorders/>
            <w:shd w:fill="CCEEFF" w:val="clear"/>
            <w:vAlign w:val="center"/>
          </w:tcPr>
          <w:p>
            <w:pPr>
              <w:pStyle w:val="TableContents"/>
              <w:bidi w:val="0"/>
              <w:spacing w:before="0" w:after="283"/>
              <w:jc w:val="left"/>
              <w:rPr/>
            </w:pPr>
            <w:r>
              <w:rPr/>
              <w:t>Short-term loan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2,919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3,136</w:t>
            </w:r>
          </w:p>
        </w:tc>
        <w:tc>
          <w:tcPr>
            <w:tcW w:w="112" w:type="dxa"/>
            <w:tcBorders/>
            <w:shd w:fill="CCEEFF" w:val="clear"/>
            <w:vAlign w:val="center"/>
          </w:tcPr>
          <w:p>
            <w:pPr>
              <w:pStyle w:val="TableContents"/>
              <w:bidi w:val="0"/>
              <w:spacing w:before="0" w:after="283"/>
              <w:jc w:val="left"/>
              <w:rPr/>
            </w:pPr>
            <w:r>
              <w:rPr/>
              <w:t> </w:t>
            </w:r>
          </w:p>
        </w:tc>
      </w:tr>
      <w:tr>
        <w:trPr/>
        <w:tc>
          <w:tcPr>
            <w:tcW w:w="7503"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pPr>
            <w:r>
              <w:rPr/>
              <w:t>2,138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2,886</w:t>
            </w:r>
          </w:p>
        </w:tc>
        <w:tc>
          <w:tcPr>
            <w:tcW w:w="112" w:type="dxa"/>
            <w:tcBorders/>
            <w:shd w:fill="FFFFFF" w:val="clear"/>
            <w:vAlign w:val="center"/>
          </w:tcPr>
          <w:p>
            <w:pPr>
              <w:pStyle w:val="TableContents"/>
              <w:bidi w:val="0"/>
              <w:spacing w:before="0" w:after="283"/>
              <w:jc w:val="left"/>
              <w:rPr/>
            </w:pPr>
            <w:r>
              <w:rPr/>
              <w:t> </w:t>
            </w:r>
          </w:p>
        </w:tc>
      </w:tr>
      <w:tr>
        <w:trPr/>
        <w:tc>
          <w:tcPr>
            <w:tcW w:w="7503"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2,868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4,224</w:t>
            </w:r>
          </w:p>
        </w:tc>
        <w:tc>
          <w:tcPr>
            <w:tcW w:w="112" w:type="dxa"/>
            <w:tcBorders/>
            <w:shd w:fill="CCEEFF" w:val="clear"/>
            <w:vAlign w:val="center"/>
          </w:tcPr>
          <w:p>
            <w:pPr>
              <w:pStyle w:val="TableContents"/>
              <w:bidi w:val="0"/>
              <w:spacing w:before="0" w:after="283"/>
              <w:jc w:val="left"/>
              <w:rPr/>
            </w:pPr>
            <w:r>
              <w:rPr/>
              <w:t> </w:t>
            </w:r>
          </w:p>
        </w:tc>
      </w:tr>
      <w:tr>
        <w:trPr/>
        <w:tc>
          <w:tcPr>
            <w:tcW w:w="7503"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pPr>
            <w:r>
              <w:rPr/>
              <w:t>601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534</w:t>
            </w:r>
          </w:p>
        </w:tc>
        <w:tc>
          <w:tcPr>
            <w:tcW w:w="112" w:type="dxa"/>
            <w:tcBorders/>
            <w:shd w:fill="FFFFFF" w:val="clear"/>
            <w:vAlign w:val="center"/>
          </w:tcPr>
          <w:p>
            <w:pPr>
              <w:pStyle w:val="TableContents"/>
              <w:bidi w:val="0"/>
              <w:spacing w:before="0" w:after="283"/>
              <w:jc w:val="left"/>
              <w:rPr/>
            </w:pPr>
            <w:r>
              <w:rPr/>
              <w:t> </w:t>
            </w:r>
          </w:p>
        </w:tc>
      </w:tr>
      <w:tr>
        <w:trPr/>
        <w:tc>
          <w:tcPr>
            <w:tcW w:w="7503" w:type="dxa"/>
            <w:tcBorders/>
            <w:shd w:fill="CCEEFF" w:val="clear"/>
            <w:vAlign w:val="center"/>
          </w:tcPr>
          <w:p>
            <w:pPr>
              <w:pStyle w:val="TableContents"/>
              <w:bidi w:val="0"/>
              <w:spacing w:before="0" w:after="283"/>
              <w:jc w:val="left"/>
              <w:rPr/>
            </w:pPr>
            <w:r>
              <w:rPr/>
              <w:t>Contingent short-term earnout liability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293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304</w:t>
            </w:r>
          </w:p>
        </w:tc>
        <w:tc>
          <w:tcPr>
            <w:tcW w:w="112" w:type="dxa"/>
            <w:tcBorders/>
            <w:shd w:fill="CCEEFF" w:val="clear"/>
            <w:vAlign w:val="center"/>
          </w:tcPr>
          <w:p>
            <w:pPr>
              <w:pStyle w:val="TableContents"/>
              <w:bidi w:val="0"/>
              <w:spacing w:before="0" w:after="283"/>
              <w:jc w:val="left"/>
              <w:rPr/>
            </w:pPr>
            <w:r>
              <w:rPr/>
              <w:t> </w:t>
            </w:r>
          </w:p>
        </w:tc>
      </w:tr>
      <w:tr>
        <w:trPr/>
        <w:tc>
          <w:tcPr>
            <w:tcW w:w="7503" w:type="dxa"/>
            <w:tcBorders/>
            <w:shd w:fill="FFFFFF" w:val="clear"/>
            <w:vAlign w:val="center"/>
          </w:tcPr>
          <w:p>
            <w:pPr>
              <w:pStyle w:val="TableContents"/>
              <w:bidi w:val="0"/>
              <w:spacing w:before="0" w:after="283"/>
              <w:jc w:val="left"/>
              <w:rPr/>
            </w:pPr>
            <w:r>
              <w:rPr/>
              <w:t>Current maturities of operating 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pPr>
            <w:r>
              <w:rPr/>
              <w:t>979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950</w:t>
            </w:r>
          </w:p>
        </w:tc>
        <w:tc>
          <w:tcPr>
            <w:tcW w:w="112" w:type="dxa"/>
            <w:tcBorders/>
            <w:shd w:fill="FFFFFF" w:val="clear"/>
            <w:vAlign w:val="center"/>
          </w:tcPr>
          <w:p>
            <w:pPr>
              <w:pStyle w:val="TableContents"/>
              <w:bidi w:val="0"/>
              <w:spacing w:before="0" w:after="283"/>
              <w:jc w:val="left"/>
              <w:rPr/>
            </w:pPr>
            <w:r>
              <w:rPr/>
              <w:t> </w:t>
            </w:r>
          </w:p>
        </w:tc>
      </w:tr>
      <w:tr>
        <w:trPr/>
        <w:tc>
          <w:tcPr>
            <w:tcW w:w="7503" w:type="dxa"/>
            <w:tcBorders/>
            <w:shd w:fill="CCEEFF" w:val="clear"/>
            <w:vAlign w:val="center"/>
          </w:tcPr>
          <w:p>
            <w:pPr>
              <w:pStyle w:val="TableContents"/>
              <w:bidi w:val="0"/>
              <w:spacing w:before="0" w:after="283"/>
              <w:jc w:val="left"/>
              <w:rPr/>
            </w:pPr>
            <w:r>
              <w:rPr/>
              <w:t>Other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8" w:type="dxa"/>
            <w:tcBorders>
              <w:bottom w:val="single" w:sz="12" w:space="0" w:color="000000"/>
            </w:tcBorders>
            <w:shd w:fill="CCEEFF" w:val="clear"/>
            <w:tcMar>
              <w:bottom w:w="28" w:type="dxa"/>
            </w:tcMar>
            <w:vAlign w:val="center"/>
          </w:tcPr>
          <w:p>
            <w:pPr>
              <w:pStyle w:val="TableContents"/>
              <w:bidi w:val="0"/>
              <w:spacing w:before="0" w:after="283"/>
              <w:jc w:val="right"/>
              <w:rPr/>
            </w:pPr>
            <w:r>
              <w:rPr/>
              <w:t>3,916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6" w:type="dxa"/>
            <w:tcBorders>
              <w:bottom w:val="single" w:sz="12" w:space="0" w:color="000000"/>
            </w:tcBorders>
            <w:shd w:fill="CCEEFF" w:val="clear"/>
            <w:tcMar>
              <w:bottom w:w="28" w:type="dxa"/>
            </w:tcMar>
            <w:vAlign w:val="center"/>
          </w:tcPr>
          <w:p>
            <w:pPr>
              <w:pStyle w:val="TableContents"/>
              <w:bidi w:val="0"/>
              <w:spacing w:before="0" w:after="283"/>
              <w:jc w:val="right"/>
              <w:rPr/>
            </w:pPr>
            <w:r>
              <w:rPr/>
              <w:t>4,854</w:t>
            </w:r>
          </w:p>
        </w:tc>
        <w:tc>
          <w:tcPr>
            <w:tcW w:w="112" w:type="dxa"/>
            <w:tcBorders/>
            <w:shd w:fill="CCEEFF" w:val="clear"/>
            <w:vAlign w:val="center"/>
          </w:tcPr>
          <w:p>
            <w:pPr>
              <w:pStyle w:val="TableContents"/>
              <w:bidi w:val="0"/>
              <w:spacing w:before="0" w:after="283"/>
              <w:jc w:val="left"/>
              <w:rPr/>
            </w:pPr>
            <w:r>
              <w:rPr/>
              <w:t> </w:t>
            </w:r>
          </w:p>
        </w:tc>
      </w:tr>
      <w:tr>
        <w:trPr/>
        <w:tc>
          <w:tcPr>
            <w:tcW w:w="7503"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8" w:type="dxa"/>
            <w:tcBorders>
              <w:bottom w:val="single" w:sz="12" w:space="0" w:color="000000"/>
            </w:tcBorders>
            <w:shd w:fill="FFFFFF" w:val="clear"/>
            <w:tcMar>
              <w:bottom w:w="28" w:type="dxa"/>
            </w:tcMar>
            <w:vAlign w:val="center"/>
          </w:tcPr>
          <w:p>
            <w:pPr>
              <w:pStyle w:val="TableContents"/>
              <w:bidi w:val="0"/>
              <w:spacing w:before="0" w:after="283"/>
              <w:jc w:val="right"/>
              <w:rPr/>
            </w:pPr>
            <w:r>
              <w:rPr/>
              <w:t>13,714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6" w:type="dxa"/>
            <w:tcBorders>
              <w:bottom w:val="single" w:sz="12" w:space="0" w:color="000000"/>
            </w:tcBorders>
            <w:shd w:fill="FFFFFF" w:val="clear"/>
            <w:tcMar>
              <w:bottom w:w="28" w:type="dxa"/>
            </w:tcMar>
            <w:vAlign w:val="center"/>
          </w:tcPr>
          <w:p>
            <w:pPr>
              <w:pStyle w:val="TableContents"/>
              <w:bidi w:val="0"/>
              <w:spacing w:before="0" w:after="283"/>
              <w:jc w:val="right"/>
              <w:rPr/>
            </w:pPr>
            <w:r>
              <w:rPr/>
              <w:t>16,888</w:t>
            </w:r>
          </w:p>
        </w:tc>
        <w:tc>
          <w:tcPr>
            <w:tcW w:w="112" w:type="dxa"/>
            <w:tcBorders/>
            <w:shd w:fill="FFFFFF" w:val="clear"/>
            <w:vAlign w:val="center"/>
          </w:tcPr>
          <w:p>
            <w:pPr>
              <w:pStyle w:val="TableContents"/>
              <w:bidi w:val="0"/>
              <w:spacing w:before="0" w:after="283"/>
              <w:jc w:val="left"/>
              <w:rPr/>
            </w:pPr>
            <w:r>
              <w:rPr/>
              <w:t> </w:t>
            </w:r>
          </w:p>
        </w:tc>
      </w:tr>
      <w:tr>
        <w:trPr/>
        <w:tc>
          <w:tcPr>
            <w:tcW w:w="75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503" w:type="dxa"/>
            <w:tcBorders/>
            <w:shd w:fill="FFFFFF" w:val="clear"/>
            <w:vAlign w:val="center"/>
          </w:tcPr>
          <w:p>
            <w:pPr>
              <w:pStyle w:val="TableContents"/>
              <w:bidi w:val="0"/>
              <w:spacing w:before="0" w:after="283"/>
              <w:jc w:val="left"/>
              <w:rPr>
                <w:b/>
              </w:rPr>
            </w:pPr>
            <w:r>
              <w:rPr>
                <w:b/>
              </w:rPr>
              <w:t>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503" w:type="dxa"/>
            <w:tcBorders/>
            <w:shd w:fill="CCEEFF" w:val="clear"/>
            <w:vAlign w:val="center"/>
          </w:tcPr>
          <w:p>
            <w:pPr>
              <w:pStyle w:val="TableContents"/>
              <w:bidi w:val="0"/>
              <w:spacing w:before="0" w:after="283"/>
              <w:jc w:val="left"/>
              <w:rPr/>
            </w:pPr>
            <w:r>
              <w:rPr/>
              <w:t>Non-current operating 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3,829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3,765</w:t>
            </w:r>
          </w:p>
        </w:tc>
        <w:tc>
          <w:tcPr>
            <w:tcW w:w="112" w:type="dxa"/>
            <w:tcBorders/>
            <w:shd w:fill="CCEEFF" w:val="clear"/>
            <w:vAlign w:val="center"/>
          </w:tcPr>
          <w:p>
            <w:pPr>
              <w:pStyle w:val="TableContents"/>
              <w:bidi w:val="0"/>
              <w:spacing w:before="0" w:after="283"/>
              <w:jc w:val="left"/>
              <w:rPr/>
            </w:pPr>
            <w:r>
              <w:rPr/>
              <w:t> </w:t>
            </w:r>
          </w:p>
        </w:tc>
      </w:tr>
      <w:tr>
        <w:trPr/>
        <w:tc>
          <w:tcPr>
            <w:tcW w:w="7503" w:type="dxa"/>
            <w:tcBorders/>
            <w:shd w:fill="FFFFFF" w:val="clear"/>
            <w:vAlign w:val="center"/>
          </w:tcPr>
          <w:p>
            <w:pPr>
              <w:pStyle w:val="TableContents"/>
              <w:bidi w:val="0"/>
              <w:spacing w:before="0" w:after="283"/>
              <w:jc w:val="left"/>
              <w:rPr/>
            </w:pPr>
            <w:r>
              <w:rPr/>
              <w:t>Non-current deferred revenue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17</w:t>
            </w:r>
          </w:p>
        </w:tc>
        <w:tc>
          <w:tcPr>
            <w:tcW w:w="112" w:type="dxa"/>
            <w:tcBorders/>
            <w:shd w:fill="FFFFFF" w:val="clear"/>
            <w:vAlign w:val="center"/>
          </w:tcPr>
          <w:p>
            <w:pPr>
              <w:pStyle w:val="TableContents"/>
              <w:bidi w:val="0"/>
              <w:spacing w:before="0" w:after="283"/>
              <w:jc w:val="left"/>
              <w:rPr/>
            </w:pPr>
            <w:r>
              <w:rPr/>
              <w:t> </w:t>
            </w:r>
          </w:p>
        </w:tc>
      </w:tr>
      <w:tr>
        <w:trPr/>
        <w:tc>
          <w:tcPr>
            <w:tcW w:w="7503" w:type="dxa"/>
            <w:tcBorders/>
            <w:shd w:fill="CCEEFF" w:val="clear"/>
            <w:vAlign w:val="center"/>
          </w:tcPr>
          <w:p>
            <w:pPr>
              <w:pStyle w:val="TableContents"/>
              <w:bidi w:val="0"/>
              <w:spacing w:before="0" w:after="283"/>
              <w:jc w:val="left"/>
              <w:rPr/>
            </w:pPr>
            <w:r>
              <w:rPr/>
              <w:t>Contingent long-term earnout liability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173</w:t>
            </w:r>
          </w:p>
        </w:tc>
        <w:tc>
          <w:tcPr>
            <w:tcW w:w="112" w:type="dxa"/>
            <w:tcBorders/>
            <w:shd w:fill="CCEEFF" w:val="clear"/>
            <w:vAlign w:val="center"/>
          </w:tcPr>
          <w:p>
            <w:pPr>
              <w:pStyle w:val="TableContents"/>
              <w:bidi w:val="0"/>
              <w:spacing w:before="0" w:after="283"/>
              <w:jc w:val="left"/>
              <w:rPr/>
            </w:pPr>
            <w:r>
              <w:rPr/>
              <w:t> </w:t>
            </w:r>
          </w:p>
        </w:tc>
      </w:tr>
      <w:tr>
        <w:trPr/>
        <w:tc>
          <w:tcPr>
            <w:tcW w:w="7503" w:type="dxa"/>
            <w:tcBorders/>
            <w:shd w:fill="FFFFFF" w:val="clear"/>
            <w:vAlign w:val="center"/>
          </w:tcPr>
          <w:p>
            <w:pPr>
              <w:pStyle w:val="TableContents"/>
              <w:bidi w:val="0"/>
              <w:spacing w:before="0" w:after="283"/>
              <w:jc w:val="left"/>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pPr>
            <w:r>
              <w:rPr/>
              <w:t>411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600</w:t>
            </w:r>
          </w:p>
        </w:tc>
        <w:tc>
          <w:tcPr>
            <w:tcW w:w="112" w:type="dxa"/>
            <w:tcBorders/>
            <w:shd w:fill="FFFFFF" w:val="clear"/>
            <w:vAlign w:val="center"/>
          </w:tcPr>
          <w:p>
            <w:pPr>
              <w:pStyle w:val="TableContents"/>
              <w:bidi w:val="0"/>
              <w:spacing w:before="0" w:after="283"/>
              <w:jc w:val="left"/>
              <w:rPr/>
            </w:pPr>
            <w:r>
              <w:rPr/>
              <w:t> </w:t>
            </w:r>
          </w:p>
        </w:tc>
      </w:tr>
      <w:tr>
        <w:trPr/>
        <w:tc>
          <w:tcPr>
            <w:tcW w:w="7503" w:type="dxa"/>
            <w:tcBorders/>
            <w:shd w:fill="CCEEFF" w:val="clear"/>
            <w:vAlign w:val="center"/>
          </w:tcPr>
          <w:p>
            <w:pPr>
              <w:pStyle w:val="TableContents"/>
              <w:bidi w:val="0"/>
              <w:spacing w:before="0" w:after="283"/>
              <w:jc w:val="left"/>
              <w:rPr/>
            </w:pPr>
            <w:r>
              <w:rPr/>
              <w:t>Other long-term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8" w:type="dxa"/>
            <w:tcBorders>
              <w:bottom w:val="single" w:sz="12" w:space="0" w:color="000000"/>
            </w:tcBorders>
            <w:shd w:fill="CCEEFF" w:val="clear"/>
            <w:tcMar>
              <w:bottom w:w="28" w:type="dxa"/>
            </w:tcMar>
            <w:vAlign w:val="center"/>
          </w:tcPr>
          <w:p>
            <w:pPr>
              <w:pStyle w:val="TableContents"/>
              <w:bidi w:val="0"/>
              <w:spacing w:before="0" w:after="283"/>
              <w:jc w:val="right"/>
              <w:rPr/>
            </w:pPr>
            <w:r>
              <w:rPr/>
              <w:t>673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6" w:type="dxa"/>
            <w:tcBorders>
              <w:bottom w:val="single" w:sz="12" w:space="0" w:color="000000"/>
            </w:tcBorders>
            <w:shd w:fill="CCEEFF" w:val="clear"/>
            <w:tcMar>
              <w:bottom w:w="28" w:type="dxa"/>
            </w:tcMar>
            <w:vAlign w:val="center"/>
          </w:tcPr>
          <w:p>
            <w:pPr>
              <w:pStyle w:val="TableContents"/>
              <w:bidi w:val="0"/>
              <w:spacing w:before="0" w:after="283"/>
              <w:jc w:val="right"/>
              <w:rPr/>
            </w:pPr>
            <w:r>
              <w:rPr/>
              <w:t>990</w:t>
            </w:r>
          </w:p>
        </w:tc>
        <w:tc>
          <w:tcPr>
            <w:tcW w:w="112" w:type="dxa"/>
            <w:tcBorders/>
            <w:shd w:fill="CCEEFF" w:val="clear"/>
            <w:vAlign w:val="center"/>
          </w:tcPr>
          <w:p>
            <w:pPr>
              <w:pStyle w:val="TableContents"/>
              <w:bidi w:val="0"/>
              <w:spacing w:before="0" w:after="283"/>
              <w:jc w:val="left"/>
              <w:rPr/>
            </w:pPr>
            <w:r>
              <w:rPr/>
              <w:t> </w:t>
            </w:r>
          </w:p>
        </w:tc>
      </w:tr>
      <w:tr>
        <w:trPr/>
        <w:tc>
          <w:tcPr>
            <w:tcW w:w="7503" w:type="dxa"/>
            <w:tcBorders/>
            <w:shd w:fill="FFFFFF" w:val="clear"/>
            <w:vAlign w:val="center"/>
          </w:tcPr>
          <w:p>
            <w:pPr>
              <w:pStyle w:val="TableContents"/>
              <w:bidi w:val="0"/>
              <w:spacing w:before="0" w:after="283"/>
              <w:jc w:val="left"/>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8" w:type="dxa"/>
            <w:tcBorders>
              <w:bottom w:val="single" w:sz="12" w:space="0" w:color="000000"/>
            </w:tcBorders>
            <w:shd w:fill="FFFFFF" w:val="clear"/>
            <w:tcMar>
              <w:bottom w:w="28" w:type="dxa"/>
            </w:tcMar>
            <w:vAlign w:val="center"/>
          </w:tcPr>
          <w:p>
            <w:pPr>
              <w:pStyle w:val="TableContents"/>
              <w:bidi w:val="0"/>
              <w:spacing w:before="0" w:after="283"/>
              <w:jc w:val="right"/>
              <w:rPr/>
            </w:pPr>
            <w:r>
              <w:rPr/>
              <w:t>5,003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6" w:type="dxa"/>
            <w:tcBorders>
              <w:bottom w:val="single" w:sz="12" w:space="0" w:color="000000"/>
            </w:tcBorders>
            <w:shd w:fill="FFFFFF" w:val="clear"/>
            <w:tcMar>
              <w:bottom w:w="28" w:type="dxa"/>
            </w:tcMar>
            <w:vAlign w:val="center"/>
          </w:tcPr>
          <w:p>
            <w:pPr>
              <w:pStyle w:val="TableContents"/>
              <w:bidi w:val="0"/>
              <w:spacing w:before="0" w:after="283"/>
              <w:jc w:val="right"/>
              <w:rPr/>
            </w:pPr>
            <w:r>
              <w:rPr/>
              <w:t>5,545</w:t>
            </w:r>
          </w:p>
        </w:tc>
        <w:tc>
          <w:tcPr>
            <w:tcW w:w="112" w:type="dxa"/>
            <w:tcBorders/>
            <w:shd w:fill="FFFFFF" w:val="clear"/>
            <w:vAlign w:val="center"/>
          </w:tcPr>
          <w:p>
            <w:pPr>
              <w:pStyle w:val="TableContents"/>
              <w:bidi w:val="0"/>
              <w:spacing w:before="0" w:after="283"/>
              <w:jc w:val="left"/>
              <w:rPr/>
            </w:pPr>
            <w:r>
              <w:rPr/>
              <w:t> </w:t>
            </w:r>
          </w:p>
        </w:tc>
      </w:tr>
      <w:tr>
        <w:trPr/>
        <w:tc>
          <w:tcPr>
            <w:tcW w:w="7503"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8" w:type="dxa"/>
            <w:tcBorders>
              <w:bottom w:val="single" w:sz="12" w:space="0" w:color="000000"/>
            </w:tcBorders>
            <w:shd w:fill="CCEEFF" w:val="clear"/>
            <w:tcMar>
              <w:bottom w:w="28" w:type="dxa"/>
            </w:tcMar>
            <w:vAlign w:val="center"/>
          </w:tcPr>
          <w:p>
            <w:pPr>
              <w:pStyle w:val="TableContents"/>
              <w:bidi w:val="0"/>
              <w:spacing w:before="0" w:after="283"/>
              <w:jc w:val="right"/>
              <w:rPr/>
            </w:pPr>
            <w:r>
              <w:rPr/>
              <w:t>18,717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6" w:type="dxa"/>
            <w:tcBorders>
              <w:bottom w:val="single" w:sz="12" w:space="0" w:color="000000"/>
            </w:tcBorders>
            <w:shd w:fill="CCEEFF" w:val="clear"/>
            <w:tcMar>
              <w:bottom w:w="28" w:type="dxa"/>
            </w:tcMar>
            <w:vAlign w:val="center"/>
          </w:tcPr>
          <w:p>
            <w:pPr>
              <w:pStyle w:val="TableContents"/>
              <w:bidi w:val="0"/>
              <w:spacing w:before="0" w:after="283"/>
              <w:jc w:val="right"/>
              <w:rPr/>
            </w:pPr>
            <w:r>
              <w:rPr/>
              <w:t>22,433</w:t>
            </w:r>
          </w:p>
        </w:tc>
        <w:tc>
          <w:tcPr>
            <w:tcW w:w="112" w:type="dxa"/>
            <w:tcBorders/>
            <w:shd w:fill="CCEEFF" w:val="clear"/>
            <w:vAlign w:val="center"/>
          </w:tcPr>
          <w:p>
            <w:pPr>
              <w:pStyle w:val="TableContents"/>
              <w:bidi w:val="0"/>
              <w:spacing w:before="0" w:after="283"/>
              <w:jc w:val="left"/>
              <w:rPr/>
            </w:pPr>
            <w:r>
              <w:rPr/>
              <w:t> </w:t>
            </w:r>
          </w:p>
        </w:tc>
      </w:tr>
      <w:tr>
        <w:trPr/>
        <w:tc>
          <w:tcPr>
            <w:tcW w:w="75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503" w:type="dxa"/>
            <w:tcBorders/>
            <w:shd w:fill="CCEEFF" w:val="clear"/>
            <w:vAlign w:val="center"/>
          </w:tcPr>
          <w:p>
            <w:pPr>
              <w:pStyle w:val="TableContents"/>
              <w:bidi w:val="0"/>
              <w:spacing w:before="0" w:after="283"/>
              <w:jc w:val="left"/>
              <w:rPr>
                <w:b/>
              </w:rPr>
            </w:pPr>
            <w:r>
              <w:rPr>
                <w:b/>
              </w:rPr>
              <w:t>COMMITMENTS AND CONTINGENCIES (Note 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5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503" w:type="dxa"/>
            <w:tcBorders/>
            <w:shd w:fill="CCEEFF" w:val="clear"/>
            <w:vAlign w:val="center"/>
          </w:tcPr>
          <w:p>
            <w:pPr>
              <w:pStyle w:val="TableContents"/>
              <w:bidi w:val="0"/>
              <w:spacing w:before="0" w:after="283"/>
              <w:jc w:val="left"/>
              <w:rPr>
                <w:b/>
              </w:rPr>
            </w:pPr>
            <w:r>
              <w:rPr>
                <w:b/>
              </w:rPr>
              <w:t>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7503" w:type="dxa"/>
            <w:tcBorders/>
            <w:shd w:fill="FFFFFF" w:val="clear"/>
            <w:vAlign w:val="center"/>
          </w:tcPr>
          <w:p>
            <w:pPr>
              <w:pStyle w:val="TableContents"/>
              <w:bidi w:val="0"/>
              <w:spacing w:before="0" w:after="283"/>
              <w:jc w:val="left"/>
              <w:rPr/>
            </w:pPr>
            <w:r>
              <w:rPr/>
              <w:t>Ordinary Shares, par value NIS 0.01 per share 100,000,000 authorized at June 30, 2026 and December 31, 2025, 70,061,338 and 69,590,228 issued and outstanding at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pPr>
            <w:r>
              <w:rPr/>
              <w:t>199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right"/>
              <w:rPr/>
            </w:pPr>
            <w:r>
              <w:rPr/>
              <w:t>198</w:t>
            </w:r>
          </w:p>
        </w:tc>
        <w:tc>
          <w:tcPr>
            <w:tcW w:w="112" w:type="dxa"/>
            <w:tcBorders/>
            <w:shd w:fill="FFFFFF" w:val="clear"/>
            <w:vAlign w:val="center"/>
          </w:tcPr>
          <w:p>
            <w:pPr>
              <w:pStyle w:val="TableContents"/>
              <w:bidi w:val="0"/>
              <w:spacing w:before="0" w:after="283"/>
              <w:jc w:val="left"/>
              <w:rPr/>
            </w:pPr>
            <w:r>
              <w:rPr/>
              <w:t> </w:t>
            </w:r>
          </w:p>
        </w:tc>
      </w:tr>
      <w:tr>
        <w:trPr/>
        <w:tc>
          <w:tcPr>
            <w:tcW w:w="7503"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590,788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right"/>
              <w:rPr/>
            </w:pPr>
            <w:r>
              <w:rPr/>
              <w:t>588,301</w:t>
            </w:r>
          </w:p>
        </w:tc>
        <w:tc>
          <w:tcPr>
            <w:tcW w:w="112" w:type="dxa"/>
            <w:tcBorders/>
            <w:shd w:fill="CCEEFF" w:val="clear"/>
            <w:vAlign w:val="center"/>
          </w:tcPr>
          <w:p>
            <w:pPr>
              <w:pStyle w:val="TableContents"/>
              <w:bidi w:val="0"/>
              <w:spacing w:before="0" w:after="283"/>
              <w:jc w:val="left"/>
              <w:rPr/>
            </w:pPr>
            <w:r>
              <w:rPr/>
              <w:t> </w:t>
            </w:r>
          </w:p>
        </w:tc>
      </w:tr>
      <w:tr>
        <w:trPr/>
        <w:tc>
          <w:tcPr>
            <w:tcW w:w="7503"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8" w:type="dxa"/>
            <w:tcBorders>
              <w:bottom w:val="single" w:sz="12" w:space="0" w:color="000000"/>
            </w:tcBorders>
            <w:shd w:fill="FFFFFF" w:val="clear"/>
            <w:tcMar>
              <w:bottom w:w="28" w:type="dxa"/>
            </w:tcMar>
            <w:vAlign w:val="center"/>
          </w:tcPr>
          <w:p>
            <w:pPr>
              <w:pStyle w:val="TableContents"/>
              <w:bidi w:val="0"/>
              <w:spacing w:before="0" w:after="283"/>
              <w:jc w:val="right"/>
              <w:rPr/>
            </w:pPr>
            <w:r>
              <w:rPr/>
              <w:t>(518,519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6" w:type="dxa"/>
            <w:tcBorders>
              <w:bottom w:val="single" w:sz="12" w:space="0" w:color="000000"/>
            </w:tcBorders>
            <w:shd w:fill="FFFFFF" w:val="clear"/>
            <w:tcMar>
              <w:bottom w:w="28" w:type="dxa"/>
            </w:tcMar>
            <w:vAlign w:val="center"/>
          </w:tcPr>
          <w:p>
            <w:pPr>
              <w:pStyle w:val="TableContents"/>
              <w:bidi w:val="0"/>
              <w:spacing w:before="0" w:after="283"/>
              <w:jc w:val="right"/>
              <w:rPr/>
            </w:pPr>
            <w:r>
              <w:rPr/>
              <w:t>(448,767</w:t>
            </w:r>
          </w:p>
        </w:tc>
        <w:tc>
          <w:tcPr>
            <w:tcW w:w="112" w:type="dxa"/>
            <w:tcBorders/>
            <w:shd w:fill="FFFFFF" w:val="clear"/>
            <w:vAlign w:val="center"/>
          </w:tcPr>
          <w:p>
            <w:pPr>
              <w:pStyle w:val="TableContents"/>
              <w:bidi w:val="0"/>
              <w:spacing w:before="0" w:after="283"/>
              <w:jc w:val="left"/>
              <w:rPr/>
            </w:pPr>
            <w:r>
              <w:rPr/>
              <w:t>)</w:t>
            </w:r>
          </w:p>
        </w:tc>
      </w:tr>
      <w:tr>
        <w:trPr/>
        <w:tc>
          <w:tcPr>
            <w:tcW w:w="7503" w:type="dxa"/>
            <w:tcBorders/>
            <w:shd w:fill="CCEEFF" w:val="clear"/>
            <w:vAlign w:val="center"/>
          </w:tcPr>
          <w:p>
            <w:pPr>
              <w:pStyle w:val="TableContents"/>
              <w:bidi w:val="0"/>
              <w:spacing w:before="0" w:after="283"/>
              <w:jc w:val="left"/>
              <w:rPr>
                <w:b/>
              </w:rPr>
            </w:pPr>
            <w:r>
              <w:rPr>
                <w:b/>
              </w:rPr>
              <w:t>TOTAL 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8" w:type="dxa"/>
            <w:tcBorders>
              <w:bottom w:val="single" w:sz="12" w:space="0" w:color="000000"/>
            </w:tcBorders>
            <w:shd w:fill="CCEEFF" w:val="clear"/>
            <w:tcMar>
              <w:bottom w:w="28" w:type="dxa"/>
            </w:tcMar>
            <w:vAlign w:val="center"/>
          </w:tcPr>
          <w:p>
            <w:pPr>
              <w:pStyle w:val="TableContents"/>
              <w:bidi w:val="0"/>
              <w:spacing w:before="0" w:after="283"/>
              <w:jc w:val="right"/>
              <w:rPr/>
            </w:pPr>
            <w:r>
              <w:rPr/>
              <w:t>72,468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6" w:type="dxa"/>
            <w:tcBorders>
              <w:bottom w:val="single" w:sz="12" w:space="0" w:color="000000"/>
            </w:tcBorders>
            <w:shd w:fill="CCEEFF" w:val="clear"/>
            <w:tcMar>
              <w:bottom w:w="28" w:type="dxa"/>
            </w:tcMar>
            <w:vAlign w:val="center"/>
          </w:tcPr>
          <w:p>
            <w:pPr>
              <w:pStyle w:val="TableContents"/>
              <w:bidi w:val="0"/>
              <w:spacing w:before="0" w:after="283"/>
              <w:jc w:val="right"/>
              <w:rPr/>
            </w:pPr>
            <w:r>
              <w:rPr/>
              <w:t>139,732</w:t>
            </w:r>
          </w:p>
        </w:tc>
        <w:tc>
          <w:tcPr>
            <w:tcW w:w="112" w:type="dxa"/>
            <w:tcBorders/>
            <w:shd w:fill="CCEEFF" w:val="clear"/>
            <w:vAlign w:val="center"/>
          </w:tcPr>
          <w:p>
            <w:pPr>
              <w:pStyle w:val="TableContents"/>
              <w:bidi w:val="0"/>
              <w:spacing w:before="0" w:after="283"/>
              <w:jc w:val="left"/>
              <w:rPr/>
            </w:pPr>
            <w:r>
              <w:rPr/>
              <w:t> </w:t>
            </w:r>
          </w:p>
        </w:tc>
      </w:tr>
      <w:tr>
        <w:trPr/>
        <w:tc>
          <w:tcPr>
            <w:tcW w:w="7503" w:type="dxa"/>
            <w:tcBorders/>
            <w:shd w:fill="FFFFFF" w:val="clear"/>
            <w:vAlign w:val="center"/>
          </w:tcPr>
          <w:p>
            <w:pPr>
              <w:pStyle w:val="TableContents"/>
              <w:bidi w:val="0"/>
              <w:spacing w:before="0" w:after="283"/>
              <w:jc w:val="left"/>
              <w:rPr>
                <w:b/>
              </w:rPr>
            </w:pPr>
            <w:r>
              <w:rPr>
                <w:b/>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78" w:type="dxa"/>
            <w:tcBorders>
              <w:bottom w:val="double" w:sz="10" w:space="0" w:color="000000"/>
            </w:tcBorders>
            <w:shd w:fill="FFFFFF" w:val="clear"/>
            <w:tcMar>
              <w:bottom w:w="28" w:type="dxa"/>
            </w:tcMar>
            <w:vAlign w:val="center"/>
          </w:tcPr>
          <w:p>
            <w:pPr>
              <w:pStyle w:val="TableContents"/>
              <w:bidi w:val="0"/>
              <w:spacing w:before="0" w:after="283"/>
              <w:jc w:val="right"/>
              <w:rPr/>
            </w:pPr>
            <w:r>
              <w:rPr/>
              <w:t>91,185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46" w:type="dxa"/>
            <w:tcBorders>
              <w:bottom w:val="double" w:sz="10" w:space="0" w:color="000000"/>
            </w:tcBorders>
            <w:shd w:fill="FFFFFF" w:val="clear"/>
            <w:tcMar>
              <w:bottom w:w="28" w:type="dxa"/>
            </w:tcMar>
            <w:vAlign w:val="center"/>
          </w:tcPr>
          <w:p>
            <w:pPr>
              <w:pStyle w:val="TableContents"/>
              <w:bidi w:val="0"/>
              <w:spacing w:before="0" w:after="283"/>
              <w:jc w:val="right"/>
              <w:rPr/>
            </w:pPr>
            <w:r>
              <w:rPr/>
              <w:t>162,165</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IMAGING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 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LOSS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60"/>
        <w:gridCol w:w="60"/>
        <w:gridCol w:w="64"/>
        <w:gridCol w:w="807"/>
        <w:gridCol w:w="101"/>
        <w:gridCol w:w="64"/>
        <w:gridCol w:w="64"/>
        <w:gridCol w:w="810"/>
        <w:gridCol w:w="95"/>
        <w:gridCol w:w="60"/>
        <w:gridCol w:w="74"/>
        <w:gridCol w:w="934"/>
        <w:gridCol w:w="117"/>
        <w:gridCol w:w="74"/>
        <w:gridCol w:w="74"/>
        <w:gridCol w:w="937"/>
        <w:gridCol w:w="110"/>
      </w:tblGrid>
      <w:tr>
        <w:trPr/>
        <w:tc>
          <w:tcPr>
            <w:tcW w:w="5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1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110" w:type="dxa"/>
            <w:tcBorders/>
            <w:vAlign w:val="center"/>
          </w:tcPr>
          <w:p>
            <w:pPr>
              <w:pStyle w:val="TableContents"/>
              <w:bidi w:val="0"/>
              <w:spacing w:before="0" w:after="283"/>
              <w:jc w:val="left"/>
              <w:rPr/>
            </w:pPr>
            <w:r>
              <w:rPr/>
              <w:t> </w:t>
            </w:r>
          </w:p>
        </w:tc>
      </w:tr>
      <w:tr>
        <w:trPr/>
        <w:tc>
          <w:tcPr>
            <w:tcW w:w="5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7"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01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180"/>
              <w:jc w:val="left"/>
              <w:rPr/>
            </w:pPr>
            <w:r>
              <w:rPr/>
              <w:t> </w:t>
            </w:r>
          </w:p>
        </w:tc>
      </w:tr>
      <w:tr>
        <w:trPr/>
        <w:tc>
          <w:tcPr>
            <w:tcW w:w="5760"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8,467</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5,855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4,156</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3,040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760"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14,034</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12,144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7,135</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6,280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760" w:type="dxa"/>
            <w:tcBorders/>
            <w:shd w:fill="FFFFFF" w:val="clear"/>
            <w:vAlign w:val="center"/>
          </w:tcPr>
          <w:p>
            <w:pPr>
              <w:pStyle w:val="TableContents"/>
              <w:bidi w:val="0"/>
              <w:spacing w:before="0" w:after="283"/>
              <w:jc w:val="left"/>
              <w:rPr/>
            </w:pPr>
            <w:r>
              <w:rPr/>
              <w:t>COST OF REVENUE – IMPAIRMENT OF INTANGIBLE ASSETS</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shd w:fill="FFFFFF" w:val="clear"/>
            <w:tcMar>
              <w:bottom w:w="28" w:type="dxa"/>
            </w:tcMar>
            <w:vAlign w:val="center"/>
          </w:tcPr>
          <w:p>
            <w:pPr>
              <w:pStyle w:val="TableContents"/>
              <w:bidi w:val="0"/>
              <w:spacing w:before="0" w:after="283"/>
              <w:jc w:val="right"/>
              <w:rPr/>
            </w:pPr>
            <w:r>
              <w:rPr/>
              <w:t>40,695</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pPr>
            <w:r>
              <w:rPr/>
              <w:t>40,695</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7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760" w:type="dxa"/>
            <w:tcBorders/>
            <w:shd w:fill="FFFFFF" w:val="clear"/>
            <w:vAlign w:val="center"/>
          </w:tcPr>
          <w:p>
            <w:pPr>
              <w:pStyle w:val="TableContents"/>
              <w:bidi w:val="0"/>
              <w:spacing w:before="0" w:after="283"/>
              <w:jc w:val="left"/>
              <w:rPr>
                <w:b/>
              </w:rPr>
            </w:pPr>
            <w:r>
              <w:rPr>
                <w:b/>
              </w:rPr>
              <w:t>GROSS LOSS</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shd w:fill="FFFFFF" w:val="clear"/>
            <w:tcMar>
              <w:bottom w:w="28" w:type="dxa"/>
            </w:tcMar>
            <w:vAlign w:val="center"/>
          </w:tcPr>
          <w:p>
            <w:pPr>
              <w:pStyle w:val="TableContents"/>
              <w:bidi w:val="0"/>
              <w:spacing w:before="0" w:after="283"/>
              <w:jc w:val="right"/>
              <w:rPr/>
            </w:pPr>
            <w:r>
              <w:rPr/>
              <w:t>(46,262</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shd w:fill="FFFFFF" w:val="clear"/>
            <w:tcMar>
              <w:bottom w:w="28" w:type="dxa"/>
            </w:tcMar>
            <w:vAlign w:val="center"/>
          </w:tcPr>
          <w:p>
            <w:pPr>
              <w:pStyle w:val="TableContents"/>
              <w:bidi w:val="0"/>
              <w:spacing w:before="0" w:after="283"/>
              <w:jc w:val="right"/>
              <w:rPr/>
            </w:pPr>
            <w:r>
              <w:rPr/>
              <w:t>(6,289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pPr>
            <w:r>
              <w:rPr/>
              <w:t>(43,674</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FFFFFF" w:val="clear"/>
            <w:tcMar>
              <w:bottom w:w="28" w:type="dxa"/>
            </w:tcMar>
            <w:vAlign w:val="center"/>
          </w:tcPr>
          <w:p>
            <w:pPr>
              <w:pStyle w:val="TableContents"/>
              <w:bidi w:val="0"/>
              <w:spacing w:before="0" w:after="283"/>
              <w:jc w:val="right"/>
              <w:rPr/>
            </w:pPr>
            <w:r>
              <w:rPr/>
              <w:t>(3,240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7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760"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760" w:type="dxa"/>
            <w:tcBorders/>
            <w:shd w:fill="CCEEFF" w:val="clear"/>
            <w:vAlign w:val="center"/>
          </w:tcPr>
          <w:p>
            <w:pPr>
              <w:pStyle w:val="TableContents"/>
              <w:bidi w:val="0"/>
              <w:spacing w:before="0" w:after="283"/>
              <w:jc w:val="left"/>
              <w:rPr/>
            </w:pPr>
            <w:r>
              <w:rPr/>
              <w:t>Research and development, net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9,505</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9,812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4,707</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4,834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76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4,064</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pPr>
            <w:r>
              <w:rPr/>
              <w:t>2,178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1,900</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1,239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76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10,684</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10,265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5,444</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5,127</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760" w:type="dxa"/>
            <w:tcBorders/>
            <w:shd w:fill="FFFFFF" w:val="clear"/>
            <w:vAlign w:val="center"/>
          </w:tcPr>
          <w:p>
            <w:pPr>
              <w:pStyle w:val="TableContents"/>
              <w:bidi w:val="0"/>
              <w:spacing w:before="0" w:after="283"/>
              <w:jc w:val="left"/>
              <w:rPr/>
            </w:pPr>
            <w:r>
              <w:rPr/>
              <w:t>Change in contingent earnout liability</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27</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(1</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760" w:type="dxa"/>
            <w:tcBorders/>
            <w:shd w:fill="CCEEFF" w:val="clear"/>
            <w:vAlign w:val="center"/>
          </w:tcPr>
          <w:p>
            <w:pPr>
              <w:pStyle w:val="TableContents"/>
              <w:bidi w:val="0"/>
              <w:spacing w:before="0" w:after="283"/>
              <w:jc w:val="left"/>
              <w:rPr/>
            </w:pPr>
            <w:r>
              <w:rPr/>
              <w:t>Other expenses (income), net</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shd w:fill="CCEEFF" w:val="clear"/>
            <w:tcMar>
              <w:bottom w:w="28" w:type="dxa"/>
            </w:tcMar>
            <w:vAlign w:val="center"/>
          </w:tcPr>
          <w:p>
            <w:pPr>
              <w:pStyle w:val="TableContents"/>
              <w:bidi w:val="0"/>
              <w:spacing w:before="0" w:after="283"/>
              <w:jc w:val="right"/>
              <w:rPr/>
            </w:pPr>
            <w:r>
              <w:rPr/>
              <w:t>(507</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shd w:fill="CCEEFF" w:val="clear"/>
            <w:tcMar>
              <w:bottom w:w="28" w:type="dxa"/>
            </w:tcMar>
            <w:vAlign w:val="center"/>
          </w:tcPr>
          <w:p>
            <w:pPr>
              <w:pStyle w:val="TableContents"/>
              <w:bidi w:val="0"/>
              <w:spacing w:before="0" w:after="283"/>
              <w:jc w:val="right"/>
              <w:rPr/>
            </w:pPr>
            <w:r>
              <w:rPr/>
              <w:t>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pPr>
            <w:r>
              <w:rPr/>
              <w:t>(247</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pPr>
            <w:r>
              <w:rPr/>
              <w:t>51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76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shd w:fill="FFFFFF" w:val="clear"/>
            <w:tcMar>
              <w:bottom w:w="28" w:type="dxa"/>
            </w:tcMar>
            <w:vAlign w:val="center"/>
          </w:tcPr>
          <w:p>
            <w:pPr>
              <w:pStyle w:val="TableContents"/>
              <w:bidi w:val="0"/>
              <w:spacing w:before="0" w:after="283"/>
              <w:jc w:val="right"/>
              <w:rPr/>
            </w:pPr>
            <w:r>
              <w:rPr/>
              <w:t>23,773</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shd w:fill="FFFFFF" w:val="clear"/>
            <w:tcMar>
              <w:bottom w:w="28" w:type="dxa"/>
            </w:tcMar>
            <w:vAlign w:val="center"/>
          </w:tcPr>
          <w:p>
            <w:pPr>
              <w:pStyle w:val="TableContents"/>
              <w:bidi w:val="0"/>
              <w:spacing w:before="0" w:after="283"/>
              <w:jc w:val="right"/>
              <w:rPr/>
            </w:pPr>
            <w:r>
              <w:rPr/>
              <w:t>22,292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pPr>
            <w:r>
              <w:rPr/>
              <w:t>11,803</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FFFFFF" w:val="clear"/>
            <w:tcMar>
              <w:bottom w:w="28" w:type="dxa"/>
            </w:tcMar>
            <w:vAlign w:val="center"/>
          </w:tcPr>
          <w:p>
            <w:pPr>
              <w:pStyle w:val="TableContents"/>
              <w:bidi w:val="0"/>
              <w:spacing w:before="0" w:after="283"/>
              <w:jc w:val="right"/>
              <w:rPr/>
            </w:pPr>
            <w:r>
              <w:rPr/>
              <w:t>11,251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760" w:type="dxa"/>
            <w:tcBorders/>
            <w:shd w:fill="CCEEFF" w:val="clear"/>
            <w:vAlign w:val="center"/>
          </w:tcPr>
          <w:p>
            <w:pPr>
              <w:pStyle w:val="TableContents"/>
              <w:bidi w:val="0"/>
              <w:spacing w:before="0" w:after="283"/>
              <w:jc w:val="left"/>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shd w:fill="CCEEFF" w:val="clear"/>
            <w:tcMar>
              <w:bottom w:w="28" w:type="dxa"/>
            </w:tcMar>
            <w:vAlign w:val="center"/>
          </w:tcPr>
          <w:p>
            <w:pPr>
              <w:pStyle w:val="TableContents"/>
              <w:bidi w:val="0"/>
              <w:spacing w:before="0" w:after="283"/>
              <w:jc w:val="right"/>
              <w:rPr/>
            </w:pPr>
            <w:r>
              <w:rPr/>
              <w:t>(70,035</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shd w:fill="CCEEFF" w:val="clear"/>
            <w:tcMar>
              <w:bottom w:w="28" w:type="dxa"/>
            </w:tcMar>
            <w:vAlign w:val="center"/>
          </w:tcPr>
          <w:p>
            <w:pPr>
              <w:pStyle w:val="TableContents"/>
              <w:bidi w:val="0"/>
              <w:spacing w:before="0" w:after="283"/>
              <w:jc w:val="right"/>
              <w:rPr/>
            </w:pPr>
            <w:r>
              <w:rPr/>
              <w:t>(28,581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pPr>
            <w:r>
              <w:rPr/>
              <w:t>(55,477</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pPr>
            <w:r>
              <w:rPr/>
              <w:t>(14,491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760" w:type="dxa"/>
            <w:tcBorders/>
            <w:shd w:fill="FFFFFF" w:val="clear"/>
            <w:vAlign w:val="center"/>
          </w:tcPr>
          <w:p>
            <w:pPr>
              <w:pStyle w:val="TableContents"/>
              <w:bidi w:val="0"/>
              <w:spacing w:before="0" w:after="283"/>
              <w:jc w:val="left"/>
              <w:rPr>
                <w:b/>
              </w:rPr>
            </w:pPr>
            <w:r>
              <w:rPr>
                <w:b/>
              </w:rPr>
              <w:t>FINANCIAL INCOME (EXPENSE), net</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shd w:fill="FFFFFF" w:val="clear"/>
            <w:tcMar>
              <w:bottom w:w="28" w:type="dxa"/>
            </w:tcMar>
            <w:vAlign w:val="center"/>
          </w:tcPr>
          <w:p>
            <w:pPr>
              <w:pStyle w:val="TableContents"/>
              <w:bidi w:val="0"/>
              <w:spacing w:before="0" w:after="283"/>
              <w:jc w:val="right"/>
              <w:rPr/>
            </w:pPr>
            <w:r>
              <w:rPr/>
              <w:t>308</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shd w:fill="FFFFFF" w:val="clear"/>
            <w:tcMar>
              <w:bottom w:w="28" w:type="dxa"/>
            </w:tcMar>
            <w:vAlign w:val="center"/>
          </w:tcPr>
          <w:p>
            <w:pPr>
              <w:pStyle w:val="TableContents"/>
              <w:bidi w:val="0"/>
              <w:spacing w:before="0" w:after="283"/>
              <w:jc w:val="right"/>
              <w:rPr/>
            </w:pPr>
            <w:r>
              <w:rPr/>
              <w:t>616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pPr>
            <w:r>
              <w:rPr/>
              <w:t>(61</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FFFFFF" w:val="clear"/>
            <w:tcMar>
              <w:bottom w:w="28" w:type="dxa"/>
            </w:tcMar>
            <w:vAlign w:val="center"/>
          </w:tcPr>
          <w:p>
            <w:pPr>
              <w:pStyle w:val="TableContents"/>
              <w:bidi w:val="0"/>
              <w:spacing w:before="0" w:after="283"/>
              <w:jc w:val="right"/>
              <w:rPr/>
            </w:pPr>
            <w:r>
              <w:rPr/>
              <w:t>(149</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760" w:type="dxa"/>
            <w:tcBorders/>
            <w:shd w:fill="CCEEFF" w:val="clear"/>
            <w:vAlign w:val="center"/>
          </w:tcPr>
          <w:p>
            <w:pPr>
              <w:pStyle w:val="TableContents"/>
              <w:bidi w:val="0"/>
              <w:spacing w:before="0" w:after="283"/>
              <w:jc w:val="left"/>
              <w:rPr>
                <w:b/>
              </w:rPr>
            </w:pPr>
            <w:r>
              <w:rPr>
                <w:b/>
              </w:rPr>
              <w:t>OPERATING LOSS BEFORE INCOME TAXES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(69,727</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(27,965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(55,538</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(14,640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760" w:type="dxa"/>
            <w:tcBorders/>
            <w:shd w:fill="CCEEFF" w:val="clear"/>
            <w:vAlign w:val="center"/>
          </w:tcPr>
          <w:p>
            <w:pPr>
              <w:pStyle w:val="TableContents"/>
              <w:bidi w:val="0"/>
              <w:spacing w:before="0" w:after="283"/>
              <w:jc w:val="left"/>
              <w:rPr>
                <w:b/>
              </w:rPr>
            </w:pPr>
            <w:r>
              <w:rPr>
                <w:b/>
              </w:rPr>
              <w:t>INCOME TAX (EXPENSE) BENEFIT</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shd w:fill="CCEEFF" w:val="clear"/>
            <w:tcMar>
              <w:bottom w:w="28" w:type="dxa"/>
            </w:tcMar>
            <w:vAlign w:val="center"/>
          </w:tcPr>
          <w:p>
            <w:pPr>
              <w:pStyle w:val="TableContents"/>
              <w:bidi w:val="0"/>
              <w:spacing w:before="0" w:after="283"/>
              <w:jc w:val="right"/>
              <w:rPr/>
            </w:pPr>
            <w:r>
              <w:rPr/>
              <w:t>(25</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shd w:fill="CCEEFF" w:val="clear"/>
            <w:tcMar>
              <w:bottom w:w="28" w:type="dxa"/>
            </w:tcMar>
            <w:vAlign w:val="center"/>
          </w:tcPr>
          <w:p>
            <w:pPr>
              <w:pStyle w:val="TableContents"/>
              <w:bidi w:val="0"/>
              <w:spacing w:before="0" w:after="283"/>
              <w:jc w:val="right"/>
              <w:rPr/>
            </w:pPr>
            <w:r>
              <w:rPr/>
              <w:t>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pPr>
            <w:r>
              <w:rPr/>
              <w:t>51</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pPr>
            <w:r>
              <w:rPr/>
              <w:t>(82</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76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6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7" w:type="dxa"/>
            <w:tcBorders>
              <w:bottom w:val="double" w:sz="10" w:space="0" w:color="000000"/>
            </w:tcBorders>
            <w:shd w:fill="FFFFFF" w:val="clear"/>
            <w:tcMar>
              <w:bottom w:w="28" w:type="dxa"/>
            </w:tcMar>
            <w:vAlign w:val="center"/>
          </w:tcPr>
          <w:p>
            <w:pPr>
              <w:pStyle w:val="TableContents"/>
              <w:bidi w:val="0"/>
              <w:spacing w:before="0" w:after="283"/>
              <w:jc w:val="right"/>
              <w:rPr/>
            </w:pPr>
            <w:r>
              <w:rPr/>
              <w:t>(69,752</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10" w:type="dxa"/>
            <w:tcBorders>
              <w:bottom w:val="double" w:sz="10" w:space="0" w:color="000000"/>
            </w:tcBorders>
            <w:shd w:fill="FFFFFF" w:val="clear"/>
            <w:tcMar>
              <w:bottom w:w="28" w:type="dxa"/>
            </w:tcMar>
            <w:vAlign w:val="center"/>
          </w:tcPr>
          <w:p>
            <w:pPr>
              <w:pStyle w:val="TableContents"/>
              <w:bidi w:val="0"/>
              <w:spacing w:before="0" w:after="283"/>
              <w:jc w:val="right"/>
              <w:rPr/>
            </w:pPr>
            <w:r>
              <w:rPr/>
              <w:t>(27,961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double" w:sz="10" w:space="0" w:color="000000"/>
            </w:tcBorders>
            <w:shd w:fill="FFFFFF" w:val="clear"/>
            <w:tcMar>
              <w:bottom w:w="28" w:type="dxa"/>
            </w:tcMar>
            <w:vAlign w:val="center"/>
          </w:tcPr>
          <w:p>
            <w:pPr>
              <w:pStyle w:val="TableContents"/>
              <w:bidi w:val="0"/>
              <w:spacing w:before="0" w:after="283"/>
              <w:jc w:val="right"/>
              <w:rPr/>
            </w:pPr>
            <w:r>
              <w:rPr/>
              <w:t>(55,487</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7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double" w:sz="10" w:space="0" w:color="000000"/>
            </w:tcBorders>
            <w:shd w:fill="FFFFFF" w:val="clear"/>
            <w:tcMar>
              <w:bottom w:w="28" w:type="dxa"/>
            </w:tcMar>
            <w:vAlign w:val="center"/>
          </w:tcPr>
          <w:p>
            <w:pPr>
              <w:pStyle w:val="TableContents"/>
              <w:bidi w:val="0"/>
              <w:spacing w:before="0" w:after="283"/>
              <w:jc w:val="right"/>
              <w:rPr/>
            </w:pPr>
            <w:r>
              <w:rPr/>
              <w:t>(14,722</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7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760" w:type="dxa"/>
            <w:tcBorders/>
            <w:shd w:fill="FFFFFF" w:val="clear"/>
            <w:vAlign w:val="center"/>
          </w:tcPr>
          <w:p>
            <w:pPr>
              <w:pStyle w:val="TableContents"/>
              <w:bidi w:val="0"/>
              <w:spacing w:before="0" w:after="283"/>
              <w:jc w:val="left"/>
              <w:rPr>
                <w:b/>
              </w:rPr>
            </w:pPr>
            <w:r>
              <w:rPr>
                <w:b/>
              </w:rPr>
              <w:t>BASIC AND DILUTED LOSS PER SHARE</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(1.00</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pPr>
            <w:r>
              <w:rPr/>
              <w:t>(0.44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(0.79</w:t>
            </w:r>
          </w:p>
        </w:tc>
        <w:tc>
          <w:tcPr>
            <w:tcW w:w="117"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(0.23</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760" w:type="dxa"/>
            <w:tcBorders/>
            <w:shd w:fill="CCEEFF" w:val="clear"/>
            <w:vAlign w:val="center"/>
          </w:tcPr>
          <w:p>
            <w:pPr>
              <w:pStyle w:val="TableContents"/>
              <w:bidi w:val="0"/>
              <w:spacing w:before="0" w:after="283"/>
              <w:jc w:val="left"/>
              <w:rPr>
                <w:b/>
              </w:rPr>
            </w:pPr>
            <w:r>
              <w:rPr>
                <w:b/>
              </w:rPr>
              <w:t>Weighted average number of basic and diluted ordinary shares outstanding (in thousands)</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7" w:type="dxa"/>
            <w:tcBorders>
              <w:bottom w:val="double" w:sz="10" w:space="0" w:color="000000"/>
            </w:tcBorders>
            <w:shd w:fill="CCEEFF" w:val="clear"/>
            <w:tcMar>
              <w:bottom w:w="28" w:type="dxa"/>
            </w:tcMar>
            <w:vAlign w:val="center"/>
          </w:tcPr>
          <w:p>
            <w:pPr>
              <w:pStyle w:val="TableContents"/>
              <w:bidi w:val="0"/>
              <w:spacing w:before="0" w:after="283"/>
              <w:jc w:val="right"/>
              <w:rPr/>
            </w:pPr>
            <w:r>
              <w:rPr/>
              <w:t>69,776</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10" w:type="dxa"/>
            <w:tcBorders>
              <w:bottom w:val="double" w:sz="10" w:space="0" w:color="000000"/>
            </w:tcBorders>
            <w:shd w:fill="CCEEFF" w:val="clear"/>
            <w:tcMar>
              <w:bottom w:w="28" w:type="dxa"/>
            </w:tcMar>
            <w:vAlign w:val="center"/>
          </w:tcPr>
          <w:p>
            <w:pPr>
              <w:pStyle w:val="TableContents"/>
              <w:bidi w:val="0"/>
              <w:spacing w:before="0" w:after="283"/>
              <w:jc w:val="right"/>
              <w:rPr/>
            </w:pPr>
            <w:r>
              <w:rPr/>
              <w:t>63,873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double" w:sz="10" w:space="0" w:color="000000"/>
            </w:tcBorders>
            <w:shd w:fill="CCEEFF" w:val="clear"/>
            <w:tcMar>
              <w:bottom w:w="28" w:type="dxa"/>
            </w:tcMar>
            <w:vAlign w:val="center"/>
          </w:tcPr>
          <w:p>
            <w:pPr>
              <w:pStyle w:val="TableContents"/>
              <w:bidi w:val="0"/>
              <w:spacing w:before="0" w:after="283"/>
              <w:jc w:val="right"/>
              <w:rPr/>
            </w:pPr>
            <w:r>
              <w:rPr/>
              <w:t>69,931</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double" w:sz="10" w:space="0" w:color="000000"/>
            </w:tcBorders>
            <w:shd w:fill="CCEEFF" w:val="clear"/>
            <w:tcMar>
              <w:bottom w:w="28" w:type="dxa"/>
            </w:tcMar>
            <w:vAlign w:val="center"/>
          </w:tcPr>
          <w:p>
            <w:pPr>
              <w:pStyle w:val="TableContents"/>
              <w:bidi w:val="0"/>
              <w:spacing w:before="0" w:after="283"/>
              <w:jc w:val="right"/>
              <w:rPr/>
            </w:pPr>
            <w:r>
              <w:rPr/>
              <w:t>63,910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7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76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(69,752</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(27,961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(55,487</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(14,722</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760" w:type="dxa"/>
            <w:tcBorders/>
            <w:shd w:fill="FFFFFF" w:val="clear"/>
            <w:vAlign w:val="center"/>
          </w:tcPr>
          <w:p>
            <w:pPr>
              <w:pStyle w:val="TableContents"/>
              <w:bidi w:val="0"/>
              <w:spacing w:before="0" w:after="283"/>
              <w:jc w:val="left"/>
              <w:rPr/>
            </w:pPr>
            <w:r>
              <w:rPr/>
              <w:t>Other comprehensive income:</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760" w:type="dxa"/>
            <w:tcBorders/>
            <w:shd w:fill="CCEEFF" w:val="clear"/>
            <w:vAlign w:val="center"/>
          </w:tcPr>
          <w:p>
            <w:pPr>
              <w:pStyle w:val="TableContents"/>
              <w:bidi w:val="0"/>
              <w:spacing w:before="0" w:after="283"/>
              <w:jc w:val="left"/>
              <w:rPr/>
            </w:pPr>
            <w:r>
              <w:rPr/>
              <w:t>Unrealized gain  from marketable securities</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760" w:type="dxa"/>
            <w:tcBorders/>
            <w:shd w:fill="FFFFFF" w:val="clear"/>
            <w:vAlign w:val="center"/>
          </w:tcPr>
          <w:p>
            <w:pPr>
              <w:pStyle w:val="TableContents"/>
              <w:bidi w:val="0"/>
              <w:spacing w:before="0" w:after="283"/>
              <w:jc w:val="left"/>
              <w:rPr/>
            </w:pPr>
            <w:r>
              <w:rPr/>
              <w:t>Total other comprehensive income:</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FFFFFF" w:val="clear"/>
            <w:tcMar>
              <w:bottom w:w="28" w:type="dxa"/>
            </w:tcMar>
            <w:vAlign w:val="center"/>
          </w:tcPr>
          <w:p>
            <w:pPr>
              <w:pStyle w:val="TableContents"/>
              <w:bidi w:val="0"/>
              <w:spacing w:before="0" w:after="283"/>
              <w:jc w:val="right"/>
              <w:rPr/>
            </w:pPr>
            <w:r>
              <w:rPr/>
              <w:t>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5760" w:type="dxa"/>
            <w:tcBorders/>
            <w:shd w:fill="CCEEFF" w:val="clear"/>
            <w:vAlign w:val="center"/>
          </w:tcPr>
          <w:p>
            <w:pPr>
              <w:pStyle w:val="TableContents"/>
              <w:bidi w:val="0"/>
              <w:spacing w:before="0" w:after="283"/>
              <w:jc w:val="left"/>
              <w:rPr>
                <w:b/>
              </w:rPr>
            </w:pPr>
            <w:r>
              <w:rPr>
                <w:b/>
              </w:rPr>
              <w:t>Total comprehensive loss</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7" w:type="dxa"/>
            <w:tcBorders>
              <w:bottom w:val="double" w:sz="10" w:space="0" w:color="000000"/>
            </w:tcBorders>
            <w:shd w:fill="CCEEFF" w:val="clear"/>
            <w:tcMar>
              <w:bottom w:w="28" w:type="dxa"/>
            </w:tcMar>
            <w:vAlign w:val="center"/>
          </w:tcPr>
          <w:p>
            <w:pPr>
              <w:pStyle w:val="TableContents"/>
              <w:bidi w:val="0"/>
              <w:spacing w:before="0" w:after="283"/>
              <w:jc w:val="right"/>
              <w:rPr/>
            </w:pPr>
            <w:r>
              <w:rPr/>
              <w:t>(69,752</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10" w:type="dxa"/>
            <w:tcBorders>
              <w:bottom w:val="double" w:sz="10" w:space="0" w:color="000000"/>
            </w:tcBorders>
            <w:shd w:fill="CCEEFF" w:val="clear"/>
            <w:tcMar>
              <w:bottom w:w="28" w:type="dxa"/>
            </w:tcMar>
            <w:vAlign w:val="center"/>
          </w:tcPr>
          <w:p>
            <w:pPr>
              <w:pStyle w:val="TableContents"/>
              <w:bidi w:val="0"/>
              <w:spacing w:before="0" w:after="283"/>
              <w:jc w:val="right"/>
              <w:rPr/>
            </w:pPr>
            <w:r>
              <w:rPr/>
              <w:t>(27,959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double" w:sz="10" w:space="0" w:color="000000"/>
            </w:tcBorders>
            <w:shd w:fill="CCEEFF" w:val="clear"/>
            <w:tcMar>
              <w:bottom w:w="28" w:type="dxa"/>
            </w:tcMar>
            <w:vAlign w:val="center"/>
          </w:tcPr>
          <w:p>
            <w:pPr>
              <w:pStyle w:val="TableContents"/>
              <w:bidi w:val="0"/>
              <w:spacing w:before="0" w:after="283"/>
              <w:jc w:val="right"/>
              <w:rPr/>
            </w:pPr>
            <w:r>
              <w:rPr/>
              <w:t>(55,487</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7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double" w:sz="10" w:space="0" w:color="000000"/>
            </w:tcBorders>
            <w:shd w:fill="CCEEFF" w:val="clear"/>
            <w:tcMar>
              <w:bottom w:w="28" w:type="dxa"/>
            </w:tcMar>
            <w:vAlign w:val="center"/>
          </w:tcPr>
          <w:p>
            <w:pPr>
              <w:pStyle w:val="TableContents"/>
              <w:bidi w:val="0"/>
              <w:spacing w:before="0" w:after="283"/>
              <w:jc w:val="right"/>
              <w:rPr/>
            </w:pPr>
            <w:r>
              <w:rPr/>
              <w:t>(14,718</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IMAGING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STATEMENTS OF CHANGES IN SHAREHOLDERS’ EQUITY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2"/>
        <w:gridCol w:w="60"/>
        <w:gridCol w:w="60"/>
        <w:gridCol w:w="1107"/>
        <w:gridCol w:w="60"/>
        <w:gridCol w:w="60"/>
        <w:gridCol w:w="117"/>
        <w:gridCol w:w="743"/>
        <w:gridCol w:w="60"/>
        <w:gridCol w:w="60"/>
        <w:gridCol w:w="76"/>
        <w:gridCol w:w="1024"/>
        <w:gridCol w:w="60"/>
        <w:gridCol w:w="60"/>
        <w:gridCol w:w="599"/>
        <w:gridCol w:w="951"/>
        <w:gridCol w:w="60"/>
        <w:gridCol w:w="60"/>
        <w:gridCol w:w="87"/>
        <w:gridCol w:w="1297"/>
        <w:gridCol w:w="95"/>
        <w:gridCol w:w="60"/>
        <w:gridCol w:w="60"/>
        <w:gridCol w:w="800"/>
        <w:gridCol w:w="87"/>
      </w:tblGrid>
      <w:tr>
        <w:trPr/>
        <w:tc>
          <w:tcPr>
            <w:tcW w:w="2502"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214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Ordinary 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50" w:type="dxa"/>
            <w:gridSpan w:val="2"/>
            <w:tcBorders/>
            <w:vAlign w:val="center"/>
          </w:tcPr>
          <w:p>
            <w:pPr>
              <w:pStyle w:val="TableContents"/>
              <w:bidi w:val="0"/>
              <w:spacing w:before="0" w:after="283"/>
              <w:jc w:val="center"/>
              <w:rPr>
                <w:b/>
              </w:rPr>
            </w:pPr>
            <w:r>
              <w:rPr>
                <w:b/>
              </w:rPr>
              <w:t xml:space="preserve">Accumulated </w:t>
              <w:br/>
              <w:t>other</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8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 </w:t>
            </w:r>
          </w:p>
        </w:tc>
        <w:tc>
          <w:tcPr>
            <w:tcW w:w="87" w:type="dxa"/>
            <w:tcBorders/>
            <w:vAlign w:val="center"/>
          </w:tcPr>
          <w:p>
            <w:pPr>
              <w:pStyle w:val="TableContents"/>
              <w:bidi w:val="0"/>
              <w:spacing w:before="0" w:after="283"/>
              <w:ind w:left="0" w:right="0" w:hanging="180"/>
              <w:jc w:val="center"/>
              <w:rPr/>
            </w:pPr>
            <w:r>
              <w:rPr/>
              <w:t> </w:t>
            </w:r>
          </w:p>
        </w:tc>
      </w:tr>
      <w:tr>
        <w:trPr/>
        <w:tc>
          <w:tcPr>
            <w:tcW w:w="250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Number of </w:t>
              <w:b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paid-in</w:t>
              <w:b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comprehensive </w:t>
              <w:br/>
              <w:t>loss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Accumulated </w:t>
              <w:b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87" w:type="dxa"/>
            <w:tcBorders/>
            <w:vAlign w:val="center"/>
          </w:tcPr>
          <w:p>
            <w:pPr>
              <w:pStyle w:val="TableContents"/>
              <w:bidi w:val="0"/>
              <w:spacing w:before="0" w:after="283"/>
              <w:ind w:left="0" w:right="0" w:hanging="180"/>
              <w:jc w:val="center"/>
              <w:rPr/>
            </w:pPr>
            <w:r>
              <w:rPr/>
              <w:t> </w:t>
            </w:r>
          </w:p>
        </w:tc>
      </w:tr>
      <w:tr>
        <w:trPr/>
        <w:tc>
          <w:tcPr>
            <w:tcW w:w="250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56" w:type="dxa"/>
            <w:gridSpan w:val="22"/>
            <w:tcBorders/>
            <w:vAlign w:val="center"/>
          </w:tcPr>
          <w:p>
            <w:pPr>
              <w:pStyle w:val="TableContents"/>
              <w:bidi w:val="0"/>
              <w:spacing w:before="0" w:after="283"/>
              <w:jc w:val="center"/>
              <w:rPr>
                <w:b/>
              </w:rPr>
            </w:pPr>
            <w:r>
              <w:rPr>
                <w:b/>
              </w:rPr>
              <w:t>U.S. Dollars in thousands</w:t>
            </w:r>
          </w:p>
        </w:tc>
        <w:tc>
          <w:tcPr>
            <w:tcW w:w="87" w:type="dxa"/>
            <w:tcBorders/>
            <w:vAlign w:val="center"/>
          </w:tcPr>
          <w:p>
            <w:pPr>
              <w:pStyle w:val="TableContents"/>
              <w:bidi w:val="0"/>
              <w:spacing w:before="0" w:after="283"/>
              <w:ind w:left="0" w:right="0" w:hanging="180"/>
              <w:jc w:val="left"/>
              <w:rPr/>
            </w:pPr>
            <w:r>
              <w:rPr/>
              <w:t> </w:t>
            </w:r>
          </w:p>
        </w:tc>
      </w:tr>
      <w:tr>
        <w:trPr/>
        <w:tc>
          <w:tcPr>
            <w:tcW w:w="2502" w:type="dxa"/>
            <w:tcBorders/>
            <w:shd w:fill="CCEEFF" w:val="clear"/>
            <w:vAlign w:val="center"/>
          </w:tcPr>
          <w:p>
            <w:pPr>
              <w:pStyle w:val="TableContents"/>
              <w:bidi w:val="0"/>
              <w:spacing w:before="0" w:after="283"/>
              <w:jc w:val="left"/>
              <w:rPr>
                <w:b/>
              </w:rPr>
            </w:pPr>
            <w:r>
              <w:rPr>
                <w:b/>
              </w:rPr>
              <w:t>BALANCE AT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69,590,228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588,301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(448,767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139,732</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2502" w:type="dxa"/>
            <w:tcBorders/>
            <w:shd w:fill="FFFFFF" w:val="clear"/>
            <w:vAlign w:val="center"/>
          </w:tcPr>
          <w:p>
            <w:pPr>
              <w:pStyle w:val="TableContents"/>
              <w:bidi w:val="0"/>
              <w:spacing w:before="0" w:after="283"/>
              <w:jc w:val="left"/>
              <w:rPr>
                <w:b/>
              </w:rPr>
            </w:pPr>
            <w:r>
              <w:rPr>
                <w:b/>
              </w:rPr>
              <w:t>Changes during the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2502" w:type="dxa"/>
            <w:tcBorders/>
            <w:shd w:fill="CCEEFF" w:val="clear"/>
            <w:vAlign w:val="center"/>
          </w:tcPr>
          <w:p>
            <w:pPr>
              <w:pStyle w:val="TableContents"/>
              <w:bidi w:val="0"/>
              <w:spacing w:before="0" w:after="283"/>
              <w:jc w:val="left"/>
              <w:rPr/>
            </w:pPr>
            <w:r>
              <w:rPr/>
              <w:t>Issuance of ordinary shares upon exercise of RSUs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21,110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2502" w:type="dxa"/>
            <w:tcBorders/>
            <w:shd w:fill="FFFFFF" w:val="clear"/>
            <w:vAlign w:val="center"/>
          </w:tcPr>
          <w:p>
            <w:pPr>
              <w:pStyle w:val="TableContents"/>
              <w:bidi w:val="0"/>
              <w:spacing w:before="0" w:after="283"/>
              <w:jc w:val="left"/>
              <w:rPr/>
            </w:pPr>
            <w:r>
              <w:rPr/>
              <w:t>Issuance of ordinary shares per settlement with a shareholder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450,000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777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9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778</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2502"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1,710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1,710</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2502" w:type="dxa"/>
            <w:tcBorders/>
            <w:shd w:fill="FFFFFF" w:val="clear"/>
            <w:vAlign w:val="center"/>
          </w:tcPr>
          <w:p>
            <w:pPr>
              <w:pStyle w:val="TableContents"/>
              <w:bidi w:val="0"/>
              <w:spacing w:before="0" w:after="283"/>
              <w:jc w:val="left"/>
              <w:rPr/>
            </w:pPr>
            <w:r>
              <w:rPr/>
              <w:t>Net 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7" w:type="dxa"/>
            <w:tcBorders>
              <w:bottom w:val="single" w:sz="12" w:space="0" w:color="000000"/>
            </w:tcBorders>
            <w:shd w:fill="FFFFFF" w:val="clear"/>
            <w:tcMar>
              <w:bottom w:w="28" w:type="dxa"/>
            </w:tcMar>
            <w:vAlign w:val="center"/>
          </w:tcPr>
          <w:p>
            <w:pPr>
              <w:pStyle w:val="TableContents"/>
              <w:bidi w:val="0"/>
              <w:spacing w:before="0" w:after="283"/>
              <w:jc w:val="right"/>
              <w:rPr/>
            </w:pPr>
            <w:r>
              <w:rPr/>
              <w:t>(69,752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(69,752</w:t>
            </w:r>
          </w:p>
        </w:tc>
        <w:tc>
          <w:tcPr>
            <w:tcW w:w="87" w:type="dxa"/>
            <w:tcBorders/>
            <w:shd w:fill="FFFFFF" w:val="clear"/>
            <w:vAlign w:val="center"/>
          </w:tcPr>
          <w:p>
            <w:pPr>
              <w:pStyle w:val="TableContents"/>
              <w:bidi w:val="0"/>
              <w:spacing w:before="0" w:after="283"/>
              <w:ind w:left="0" w:right="0" w:hanging="180"/>
              <w:jc w:val="left"/>
              <w:rPr/>
            </w:pPr>
            <w:r>
              <w:rPr/>
              <w:t>)</w:t>
            </w:r>
          </w:p>
        </w:tc>
      </w:tr>
      <w:tr>
        <w:trPr/>
        <w:tc>
          <w:tcPr>
            <w:tcW w:w="2502" w:type="dxa"/>
            <w:tcBorders/>
            <w:shd w:fill="CCEEFF" w:val="clear"/>
            <w:vAlign w:val="center"/>
          </w:tcPr>
          <w:p>
            <w:pPr>
              <w:pStyle w:val="TableContents"/>
              <w:bidi w:val="0"/>
              <w:spacing w:before="0" w:after="283"/>
              <w:jc w:val="left"/>
              <w:rPr>
                <w:b/>
              </w:rPr>
            </w:pPr>
            <w:r>
              <w:rPr>
                <w:b/>
              </w:rPr>
              <w:t>BALANCE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7" w:type="dxa"/>
            <w:tcBorders>
              <w:bottom w:val="double" w:sz="10" w:space="0" w:color="000000"/>
            </w:tcBorders>
            <w:shd w:fill="CCEEFF" w:val="clear"/>
            <w:tcMar>
              <w:bottom w:w="28" w:type="dxa"/>
            </w:tcMar>
            <w:vAlign w:val="center"/>
          </w:tcPr>
          <w:p>
            <w:pPr>
              <w:pStyle w:val="TableContents"/>
              <w:bidi w:val="0"/>
              <w:spacing w:before="0" w:after="283"/>
              <w:jc w:val="right"/>
              <w:rPr/>
            </w:pPr>
            <w:r>
              <w:rPr/>
              <w:t>70,061,338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43" w:type="dxa"/>
            <w:tcBorders>
              <w:bottom w:val="double" w:sz="10" w:space="0" w:color="000000"/>
            </w:tcBorders>
            <w:shd w:fill="CCEEFF" w:val="clear"/>
            <w:tcMar>
              <w:bottom w:w="28" w:type="dxa"/>
            </w:tcMar>
            <w:vAlign w:val="center"/>
          </w:tcPr>
          <w:p>
            <w:pPr>
              <w:pStyle w:val="TableContents"/>
              <w:bidi w:val="0"/>
              <w:spacing w:before="0" w:after="283"/>
              <w:jc w:val="right"/>
              <w:rPr/>
            </w:pPr>
            <w:r>
              <w:rPr/>
              <w:t>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double" w:sz="10" w:space="0" w:color="000000"/>
            </w:tcBorders>
            <w:shd w:fill="CCEEFF" w:val="clear"/>
            <w:tcMar>
              <w:bottom w:w="28" w:type="dxa"/>
            </w:tcMar>
            <w:vAlign w:val="center"/>
          </w:tcPr>
          <w:p>
            <w:pPr>
              <w:pStyle w:val="TableContents"/>
              <w:bidi w:val="0"/>
              <w:spacing w:before="0" w:after="283"/>
              <w:jc w:val="right"/>
              <w:rPr/>
            </w:pPr>
            <w:r>
              <w:rPr/>
              <w:t>590,788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7" w:type="dxa"/>
            <w:tcBorders>
              <w:bottom w:val="double" w:sz="10" w:space="0" w:color="000000"/>
            </w:tcBorders>
            <w:shd w:fill="CCEEFF" w:val="clear"/>
            <w:tcMar>
              <w:bottom w:w="28" w:type="dxa"/>
            </w:tcMar>
            <w:vAlign w:val="center"/>
          </w:tcPr>
          <w:p>
            <w:pPr>
              <w:pStyle w:val="TableContents"/>
              <w:bidi w:val="0"/>
              <w:spacing w:before="0" w:after="283"/>
              <w:jc w:val="right"/>
              <w:rPr/>
            </w:pPr>
            <w:r>
              <w:rPr/>
              <w:t>(518,519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72,468</w:t>
            </w:r>
          </w:p>
        </w:tc>
        <w:tc>
          <w:tcPr>
            <w:tcW w:w="8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6"/>
        <w:gridCol w:w="60"/>
        <w:gridCol w:w="60"/>
        <w:gridCol w:w="1100"/>
        <w:gridCol w:w="60"/>
        <w:gridCol w:w="60"/>
        <w:gridCol w:w="117"/>
        <w:gridCol w:w="743"/>
        <w:gridCol w:w="60"/>
        <w:gridCol w:w="60"/>
        <w:gridCol w:w="76"/>
        <w:gridCol w:w="1024"/>
        <w:gridCol w:w="60"/>
        <w:gridCol w:w="60"/>
        <w:gridCol w:w="333"/>
        <w:gridCol w:w="1202"/>
        <w:gridCol w:w="95"/>
        <w:gridCol w:w="60"/>
        <w:gridCol w:w="87"/>
        <w:gridCol w:w="1283"/>
        <w:gridCol w:w="95"/>
        <w:gridCol w:w="60"/>
        <w:gridCol w:w="60"/>
        <w:gridCol w:w="800"/>
        <w:gridCol w:w="84"/>
      </w:tblGrid>
      <w:tr>
        <w:trPr/>
        <w:tc>
          <w:tcPr>
            <w:tcW w:w="2506"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center"/>
              <w:rPr>
                <w:b/>
              </w:rPr>
            </w:pPr>
            <w:r>
              <w:rPr>
                <w:b/>
              </w:rPr>
              <w:t>Accumulated</w:t>
              <w:br/>
              <w:t>other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ind w:left="0" w:right="0" w:hanging="180"/>
              <w:jc w:val="left"/>
              <w:rPr/>
            </w:pPr>
            <w:r>
              <w:rPr/>
              <w:t> </w:t>
            </w:r>
          </w:p>
        </w:tc>
      </w:tr>
      <w:tr>
        <w:trPr/>
        <w:tc>
          <w:tcPr>
            <w:tcW w:w="250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paid-in</w:t>
              <w:b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comprehensive</w:t>
              <w:b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w:t>
              <w:b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84" w:type="dxa"/>
            <w:tcBorders/>
            <w:vAlign w:val="center"/>
          </w:tcPr>
          <w:p>
            <w:pPr>
              <w:pStyle w:val="TableContents"/>
              <w:bidi w:val="0"/>
              <w:spacing w:before="0" w:after="283"/>
              <w:ind w:left="0" w:right="0" w:hanging="180"/>
              <w:jc w:val="left"/>
              <w:rPr/>
            </w:pPr>
            <w:r>
              <w:rPr/>
              <w:t> </w:t>
            </w:r>
          </w:p>
        </w:tc>
      </w:tr>
      <w:tr>
        <w:trPr/>
        <w:tc>
          <w:tcPr>
            <w:tcW w:w="250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55" w:type="dxa"/>
            <w:gridSpan w:val="22"/>
            <w:tcBorders/>
            <w:vAlign w:val="center"/>
          </w:tcPr>
          <w:p>
            <w:pPr>
              <w:pStyle w:val="TableContents"/>
              <w:bidi w:val="0"/>
              <w:spacing w:before="0" w:after="283"/>
              <w:jc w:val="center"/>
              <w:rPr>
                <w:b/>
              </w:rPr>
            </w:pPr>
            <w:r>
              <w:rPr>
                <w:b/>
              </w:rPr>
              <w:t>U.S. Dollars in thousands</w:t>
            </w:r>
          </w:p>
        </w:tc>
        <w:tc>
          <w:tcPr>
            <w:tcW w:w="84" w:type="dxa"/>
            <w:tcBorders/>
            <w:vAlign w:val="center"/>
          </w:tcPr>
          <w:p>
            <w:pPr>
              <w:pStyle w:val="TableContents"/>
              <w:bidi w:val="0"/>
              <w:spacing w:before="0" w:after="283"/>
              <w:ind w:left="0" w:right="0" w:hanging="180"/>
              <w:jc w:val="left"/>
              <w:rPr/>
            </w:pPr>
            <w:r>
              <w:rPr/>
              <w:t> </w:t>
            </w:r>
          </w:p>
        </w:tc>
      </w:tr>
      <w:tr>
        <w:trPr/>
        <w:tc>
          <w:tcPr>
            <w:tcW w:w="2506" w:type="dxa"/>
            <w:tcBorders/>
            <w:shd w:fill="CCEEFF" w:val="clear"/>
            <w:vAlign w:val="center"/>
          </w:tcPr>
          <w:p>
            <w:pPr>
              <w:pStyle w:val="TableContents"/>
              <w:bidi w:val="0"/>
              <w:spacing w:before="0" w:after="283"/>
              <w:jc w:val="left"/>
              <w:rPr>
                <w:b/>
              </w:rPr>
            </w:pPr>
            <w:r>
              <w:rPr>
                <w:b/>
              </w:rPr>
              <w:t>BALANCE AT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63,762,001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181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562,688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(373,749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189,119</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506" w:type="dxa"/>
            <w:tcBorders/>
            <w:shd w:fill="FFFFFF" w:val="clear"/>
            <w:vAlign w:val="center"/>
          </w:tcPr>
          <w:p>
            <w:pPr>
              <w:pStyle w:val="TableContents"/>
              <w:bidi w:val="0"/>
              <w:spacing w:before="0" w:after="283"/>
              <w:jc w:val="left"/>
              <w:rPr>
                <w:b/>
              </w:rPr>
            </w:pPr>
            <w:r>
              <w:rPr>
                <w:b/>
              </w:rPr>
              <w:t>Changes during the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506" w:type="dxa"/>
            <w:tcBorders/>
            <w:shd w:fill="CCEEFF" w:val="clear"/>
            <w:vAlign w:val="center"/>
          </w:tcPr>
          <w:p>
            <w:pPr>
              <w:pStyle w:val="TableContents"/>
              <w:bidi w:val="0"/>
              <w:spacing w:before="0" w:after="283"/>
              <w:jc w:val="left"/>
              <w:rPr/>
            </w:pPr>
            <w:r>
              <w:rPr/>
              <w:t>Issuance of ordinary shares upon exercise of RSUs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506" w:type="dxa"/>
            <w:tcBorders/>
            <w:shd w:fill="FFFFFF" w:val="clear"/>
            <w:vAlign w:val="center"/>
          </w:tcPr>
          <w:p>
            <w:pPr>
              <w:pStyle w:val="TableContents"/>
              <w:bidi w:val="0"/>
              <w:spacing w:before="0" w:after="283"/>
              <w:jc w:val="left"/>
              <w:rPr/>
            </w:pPr>
            <w:r>
              <w:rPr/>
              <w:t>Issuance of ordinary shares upon exercise of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54,903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121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121</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506" w:type="dxa"/>
            <w:tcBorders/>
            <w:shd w:fill="CCEEFF" w:val="clear"/>
            <w:vAlign w:val="center"/>
          </w:tcPr>
          <w:p>
            <w:pPr>
              <w:pStyle w:val="TableContents"/>
              <w:bidi w:val="0"/>
              <w:spacing w:before="0" w:after="283"/>
              <w:jc w:val="left"/>
              <w:rPr/>
            </w:pPr>
            <w:r>
              <w:rPr/>
              <w:t>Issuance of ordinary shares due the settlement of contingent earnout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116,226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506"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2,277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2,277</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506" w:type="dxa"/>
            <w:tcBorders/>
            <w:shd w:fill="CCEEFF" w:val="clear"/>
            <w:vAlign w:val="center"/>
          </w:tcPr>
          <w:p>
            <w:pPr>
              <w:pStyle w:val="TableContents"/>
              <w:bidi w:val="0"/>
              <w:spacing w:before="0" w:after="283"/>
              <w:jc w:val="left"/>
              <w:rPr/>
            </w:pPr>
            <w:r>
              <w:rPr/>
              <w:t>Unrealized gain from marketable securities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506" w:type="dxa"/>
            <w:tcBorders/>
            <w:shd w:fill="FFFFFF" w:val="clear"/>
            <w:vAlign w:val="center"/>
          </w:tcPr>
          <w:p>
            <w:pPr>
              <w:pStyle w:val="TableContents"/>
              <w:bidi w:val="0"/>
              <w:spacing w:before="0" w:after="283"/>
              <w:jc w:val="left"/>
              <w:rPr/>
            </w:pPr>
            <w:r>
              <w:rPr/>
              <w:t>Net 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pPr>
            <w:r>
              <w:rPr/>
              <w:t>(27,961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(27,961</w:t>
            </w:r>
          </w:p>
        </w:tc>
        <w:tc>
          <w:tcPr>
            <w:tcW w:w="84" w:type="dxa"/>
            <w:tcBorders/>
            <w:shd w:fill="FFFFFF" w:val="clear"/>
            <w:vAlign w:val="center"/>
          </w:tcPr>
          <w:p>
            <w:pPr>
              <w:pStyle w:val="TableContents"/>
              <w:bidi w:val="0"/>
              <w:spacing w:before="0" w:after="283"/>
              <w:ind w:left="0" w:right="0" w:hanging="180"/>
              <w:jc w:val="left"/>
              <w:rPr/>
            </w:pPr>
            <w:r>
              <w:rPr/>
              <w:t>)</w:t>
            </w:r>
          </w:p>
        </w:tc>
      </w:tr>
      <w:tr>
        <w:trPr/>
        <w:tc>
          <w:tcPr>
            <w:tcW w:w="2506" w:type="dxa"/>
            <w:tcBorders/>
            <w:shd w:fill="CCEEFF" w:val="clear"/>
            <w:vAlign w:val="center"/>
          </w:tcPr>
          <w:p>
            <w:pPr>
              <w:pStyle w:val="TableContents"/>
              <w:bidi w:val="0"/>
              <w:spacing w:before="0" w:after="283"/>
              <w:jc w:val="left"/>
              <w:rPr>
                <w:b/>
              </w:rPr>
            </w:pPr>
            <w:r>
              <w:rPr>
                <w:b/>
              </w:rPr>
              <w:t>BALANCE AT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63,939,620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43" w:type="dxa"/>
            <w:tcBorders>
              <w:bottom w:val="double" w:sz="10" w:space="0" w:color="000000"/>
            </w:tcBorders>
            <w:shd w:fill="CCEEFF" w:val="clear"/>
            <w:tcMar>
              <w:bottom w:w="28" w:type="dxa"/>
            </w:tcMar>
            <w:vAlign w:val="center"/>
          </w:tcPr>
          <w:p>
            <w:pPr>
              <w:pStyle w:val="TableContents"/>
              <w:bidi w:val="0"/>
              <w:spacing w:before="0" w:after="283"/>
              <w:jc w:val="right"/>
              <w:rPr/>
            </w:pPr>
            <w:r>
              <w:rPr/>
              <w:t>181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double" w:sz="10" w:space="0" w:color="000000"/>
            </w:tcBorders>
            <w:shd w:fill="CCEEFF" w:val="clear"/>
            <w:tcMar>
              <w:bottom w:w="28" w:type="dxa"/>
            </w:tcMar>
            <w:vAlign w:val="center"/>
          </w:tcPr>
          <w:p>
            <w:pPr>
              <w:pStyle w:val="TableContents"/>
              <w:bidi w:val="0"/>
              <w:spacing w:before="0" w:after="283"/>
              <w:jc w:val="right"/>
              <w:rPr/>
            </w:pPr>
            <w:r>
              <w:rPr/>
              <w:t>565,086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2" w:type="dxa"/>
            <w:tcBorders>
              <w:bottom w:val="double" w:sz="10" w:space="0" w:color="000000"/>
            </w:tcBorders>
            <w:shd w:fill="CCEEFF" w:val="clear"/>
            <w:tcMar>
              <w:bottom w:w="28" w:type="dxa"/>
            </w:tcM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double" w:sz="10" w:space="0" w:color="000000"/>
            </w:tcBorders>
            <w:shd w:fill="CCEEFF" w:val="clear"/>
            <w:tcMar>
              <w:bottom w:w="28" w:type="dxa"/>
            </w:tcMar>
            <w:vAlign w:val="center"/>
          </w:tcPr>
          <w:p>
            <w:pPr>
              <w:pStyle w:val="TableContents"/>
              <w:bidi w:val="0"/>
              <w:spacing w:before="0" w:after="283"/>
              <w:jc w:val="right"/>
              <w:rPr/>
            </w:pPr>
            <w:r>
              <w:rPr/>
              <w:t>(401,710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163,558</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155"/>
        <w:gridCol w:w="1295"/>
      </w:tblGrid>
      <w:tr>
        <w:trPr/>
        <w:tc>
          <w:tcPr>
            <w:tcW w:w="155"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283"/>
              <w:jc w:val="both"/>
              <w:rPr/>
            </w:pPr>
            <w:r>
              <w:rPr/>
              <w:t>Less than $1.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0"/>
        <w:gridCol w:w="60"/>
        <w:gridCol w:w="60"/>
        <w:gridCol w:w="1100"/>
        <w:gridCol w:w="60"/>
        <w:gridCol w:w="60"/>
        <w:gridCol w:w="117"/>
        <w:gridCol w:w="743"/>
        <w:gridCol w:w="60"/>
        <w:gridCol w:w="60"/>
        <w:gridCol w:w="76"/>
        <w:gridCol w:w="1024"/>
        <w:gridCol w:w="60"/>
        <w:gridCol w:w="60"/>
        <w:gridCol w:w="91"/>
        <w:gridCol w:w="1444"/>
        <w:gridCol w:w="60"/>
        <w:gridCol w:w="60"/>
        <w:gridCol w:w="87"/>
        <w:gridCol w:w="1283"/>
        <w:gridCol w:w="95"/>
        <w:gridCol w:w="60"/>
        <w:gridCol w:w="60"/>
        <w:gridCol w:w="800"/>
        <w:gridCol w:w="85"/>
      </w:tblGrid>
      <w:tr>
        <w:trPr/>
        <w:tc>
          <w:tcPr>
            <w:tcW w:w="2540"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center"/>
              <w:rPr>
                <w:b/>
              </w:rPr>
            </w:pPr>
            <w:r>
              <w:rPr>
                <w:b/>
              </w:rPr>
              <w:t>Accumulated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85" w:type="dxa"/>
            <w:tcBorders/>
            <w:vAlign w:val="center"/>
          </w:tcPr>
          <w:p>
            <w:pPr>
              <w:pStyle w:val="TableContents"/>
              <w:bidi w:val="0"/>
              <w:spacing w:before="0" w:after="283"/>
              <w:ind w:left="0" w:right="0" w:hanging="180"/>
              <w:jc w:val="left"/>
              <w:rPr/>
            </w:pPr>
            <w:r>
              <w:rPr/>
              <w:t> </w:t>
            </w:r>
          </w:p>
        </w:tc>
      </w:tr>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center"/>
              <w:rPr>
                <w:b/>
              </w:rPr>
            </w:pPr>
            <w:r>
              <w:rPr>
                <w:b/>
              </w:rPr>
              <w:t>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85" w:type="dxa"/>
            <w:tcBorders/>
            <w:vAlign w:val="center"/>
          </w:tcPr>
          <w:p>
            <w:pPr>
              <w:pStyle w:val="TableContents"/>
              <w:bidi w:val="0"/>
              <w:spacing w:before="0" w:after="283"/>
              <w:ind w:left="0" w:right="0" w:hanging="180"/>
              <w:jc w:val="left"/>
              <w:rPr/>
            </w:pPr>
            <w:r>
              <w:rPr/>
              <w:t> </w:t>
            </w:r>
          </w:p>
        </w:tc>
      </w:tr>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Number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center"/>
              <w:rPr>
                <w:b/>
              </w:rPr>
            </w:pPr>
            <w:r>
              <w:rPr>
                <w:b/>
              </w:rPr>
              <w:t>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85" w:type="dxa"/>
            <w:tcBorders/>
            <w:vAlign w:val="center"/>
          </w:tcPr>
          <w:p>
            <w:pPr>
              <w:pStyle w:val="TableContents"/>
              <w:bidi w:val="0"/>
              <w:spacing w:before="0" w:after="283"/>
              <w:ind w:left="0" w:right="0" w:hanging="180"/>
              <w:jc w:val="left"/>
              <w:rPr/>
            </w:pPr>
            <w:r>
              <w:rPr/>
              <w:t> </w:t>
            </w:r>
          </w:p>
        </w:tc>
      </w:tr>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85" w:type="dxa"/>
            <w:tcBorders/>
            <w:vAlign w:val="center"/>
          </w:tcPr>
          <w:p>
            <w:pPr>
              <w:pStyle w:val="TableContents"/>
              <w:bidi w:val="0"/>
              <w:spacing w:before="0" w:after="283"/>
              <w:ind w:left="0" w:right="0" w:hanging="180"/>
              <w:jc w:val="left"/>
              <w:rPr/>
            </w:pPr>
            <w:r>
              <w:rPr/>
              <w:t> </w:t>
            </w:r>
          </w:p>
        </w:tc>
      </w:tr>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20" w:type="dxa"/>
            <w:gridSpan w:val="22"/>
            <w:tcBorders/>
            <w:vAlign w:val="center"/>
          </w:tcPr>
          <w:p>
            <w:pPr>
              <w:pStyle w:val="TableContents"/>
              <w:bidi w:val="0"/>
              <w:spacing w:before="0" w:after="283"/>
              <w:jc w:val="center"/>
              <w:rPr>
                <w:b/>
              </w:rPr>
            </w:pPr>
            <w:r>
              <w:rPr>
                <w:b/>
              </w:rPr>
              <w:t>U.S. Dollars in thousands</w:t>
            </w:r>
          </w:p>
        </w:tc>
        <w:tc>
          <w:tcPr>
            <w:tcW w:w="85" w:type="dxa"/>
            <w:tcBorders/>
            <w:vAlign w:val="center"/>
          </w:tcPr>
          <w:p>
            <w:pPr>
              <w:pStyle w:val="TableContents"/>
              <w:bidi w:val="0"/>
              <w:spacing w:before="0" w:after="283"/>
              <w:ind w:left="0" w:right="0" w:hanging="180"/>
              <w:jc w:val="left"/>
              <w:rPr/>
            </w:pPr>
            <w:r>
              <w:rPr/>
              <w:t> </w:t>
            </w:r>
          </w:p>
        </w:tc>
      </w:tr>
      <w:tr>
        <w:trPr/>
        <w:tc>
          <w:tcPr>
            <w:tcW w:w="2540" w:type="dxa"/>
            <w:tcBorders/>
            <w:shd w:fill="CCEEFF" w:val="clear"/>
            <w:vAlign w:val="center"/>
          </w:tcPr>
          <w:p>
            <w:pPr>
              <w:pStyle w:val="TableContents"/>
              <w:bidi w:val="0"/>
              <w:spacing w:before="0" w:after="283"/>
              <w:jc w:val="left"/>
              <w:rPr>
                <w:b/>
              </w:rPr>
            </w:pPr>
            <w:r>
              <w:rPr>
                <w:b/>
              </w:rPr>
              <w:t>BALANCE AT APRIL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69,600,783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589,142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(463,032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126,308</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2540" w:type="dxa"/>
            <w:tcBorders/>
            <w:shd w:fill="FFFFFF" w:val="clear"/>
            <w:vAlign w:val="center"/>
          </w:tcPr>
          <w:p>
            <w:pPr>
              <w:pStyle w:val="TableContents"/>
              <w:bidi w:val="0"/>
              <w:spacing w:before="0" w:after="283"/>
              <w:jc w:val="left"/>
              <w:rPr>
                <w:b/>
              </w:rPr>
            </w:pPr>
            <w:r>
              <w:rPr>
                <w:b/>
              </w:rPr>
              <w:t>Changes during the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4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2540" w:type="dxa"/>
            <w:tcBorders/>
            <w:shd w:fill="CCEEFF" w:val="clear"/>
            <w:vAlign w:val="center"/>
          </w:tcPr>
          <w:p>
            <w:pPr>
              <w:pStyle w:val="TableContents"/>
              <w:bidi w:val="0"/>
              <w:spacing w:before="0" w:after="283"/>
              <w:jc w:val="left"/>
              <w:rPr/>
            </w:pPr>
            <w:r>
              <w:rPr/>
              <w:t>Issuance of ordinary shares upon exercise of RSUs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10,555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2540" w:type="dxa"/>
            <w:tcBorders/>
            <w:shd w:fill="FFFFFF" w:val="clear"/>
            <w:vAlign w:val="center"/>
          </w:tcPr>
          <w:p>
            <w:pPr>
              <w:pStyle w:val="TableContents"/>
              <w:bidi w:val="0"/>
              <w:spacing w:before="0" w:after="283"/>
              <w:jc w:val="left"/>
              <w:rPr/>
            </w:pPr>
            <w:r>
              <w:rPr/>
              <w:t>Issuance of ordinary shares per settlement with a shareholder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777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44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778</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2540"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869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4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869</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2540" w:type="dxa"/>
            <w:tcBorders/>
            <w:shd w:fill="FFFFFF" w:val="clear"/>
            <w:vAlign w:val="center"/>
          </w:tcPr>
          <w:p>
            <w:pPr>
              <w:pStyle w:val="TableContents"/>
              <w:bidi w:val="0"/>
              <w:spacing w:before="0" w:after="283"/>
              <w:jc w:val="left"/>
              <w:rPr/>
            </w:pPr>
            <w:r>
              <w:rPr/>
              <w:t>Net 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4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pPr>
            <w:r>
              <w:rPr/>
              <w:t>(55,487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(55,487</w:t>
            </w:r>
          </w:p>
        </w:tc>
        <w:tc>
          <w:tcPr>
            <w:tcW w:w="85" w:type="dxa"/>
            <w:tcBorders/>
            <w:shd w:fill="FFFFFF" w:val="clear"/>
            <w:vAlign w:val="center"/>
          </w:tcPr>
          <w:p>
            <w:pPr>
              <w:pStyle w:val="TableContents"/>
              <w:bidi w:val="0"/>
              <w:spacing w:before="0" w:after="283"/>
              <w:ind w:left="0" w:right="0" w:hanging="180"/>
              <w:jc w:val="left"/>
              <w:rPr/>
            </w:pPr>
            <w:r>
              <w:rPr/>
              <w:t>)</w:t>
            </w:r>
          </w:p>
        </w:tc>
      </w:tr>
      <w:tr>
        <w:trPr/>
        <w:tc>
          <w:tcPr>
            <w:tcW w:w="2540" w:type="dxa"/>
            <w:tcBorders/>
            <w:shd w:fill="CCEEFF" w:val="clear"/>
            <w:vAlign w:val="center"/>
          </w:tcPr>
          <w:p>
            <w:pPr>
              <w:pStyle w:val="TableContents"/>
              <w:bidi w:val="0"/>
              <w:spacing w:before="0" w:after="283"/>
              <w:jc w:val="left"/>
              <w:rPr>
                <w:b/>
              </w:rPr>
            </w:pPr>
            <w:r>
              <w:rPr>
                <w:b/>
              </w:rPr>
              <w:t>BALANCE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70,061,338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43" w:type="dxa"/>
            <w:tcBorders>
              <w:bottom w:val="double" w:sz="10" w:space="0" w:color="000000"/>
            </w:tcBorders>
            <w:shd w:fill="CCEEFF" w:val="clear"/>
            <w:tcMar>
              <w:bottom w:w="28" w:type="dxa"/>
            </w:tcMar>
            <w:vAlign w:val="center"/>
          </w:tcPr>
          <w:p>
            <w:pPr>
              <w:pStyle w:val="TableContents"/>
              <w:bidi w:val="0"/>
              <w:spacing w:before="0" w:after="283"/>
              <w:jc w:val="right"/>
              <w:rPr/>
            </w:pPr>
            <w:r>
              <w:rPr/>
              <w:t>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double" w:sz="10" w:space="0" w:color="000000"/>
            </w:tcBorders>
            <w:shd w:fill="CCEEFF" w:val="clear"/>
            <w:tcMar>
              <w:bottom w:w="28" w:type="dxa"/>
            </w:tcMar>
            <w:vAlign w:val="center"/>
          </w:tcPr>
          <w:p>
            <w:pPr>
              <w:pStyle w:val="TableContents"/>
              <w:bidi w:val="0"/>
              <w:spacing w:before="0" w:after="283"/>
              <w:jc w:val="right"/>
              <w:rPr/>
            </w:pPr>
            <w:r>
              <w:rPr/>
              <w:t>590,788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44"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double" w:sz="10" w:space="0" w:color="000000"/>
            </w:tcBorders>
            <w:shd w:fill="CCEEFF" w:val="clear"/>
            <w:tcMar>
              <w:bottom w:w="28" w:type="dxa"/>
            </w:tcMar>
            <w:vAlign w:val="center"/>
          </w:tcPr>
          <w:p>
            <w:pPr>
              <w:pStyle w:val="TableContents"/>
              <w:bidi w:val="0"/>
              <w:spacing w:before="0" w:after="283"/>
              <w:jc w:val="right"/>
              <w:rPr/>
            </w:pPr>
            <w:r>
              <w:rPr/>
              <w:t>(518,519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72,468</w:t>
            </w:r>
          </w:p>
        </w:tc>
        <w:tc>
          <w:tcPr>
            <w:tcW w:w="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6"/>
        <w:gridCol w:w="60"/>
        <w:gridCol w:w="60"/>
        <w:gridCol w:w="1100"/>
        <w:gridCol w:w="60"/>
        <w:gridCol w:w="60"/>
        <w:gridCol w:w="117"/>
        <w:gridCol w:w="743"/>
        <w:gridCol w:w="60"/>
        <w:gridCol w:w="60"/>
        <w:gridCol w:w="76"/>
        <w:gridCol w:w="1024"/>
        <w:gridCol w:w="60"/>
        <w:gridCol w:w="60"/>
        <w:gridCol w:w="333"/>
        <w:gridCol w:w="1202"/>
        <w:gridCol w:w="95"/>
        <w:gridCol w:w="60"/>
        <w:gridCol w:w="87"/>
        <w:gridCol w:w="1283"/>
        <w:gridCol w:w="95"/>
        <w:gridCol w:w="60"/>
        <w:gridCol w:w="60"/>
        <w:gridCol w:w="800"/>
        <w:gridCol w:w="84"/>
      </w:tblGrid>
      <w:tr>
        <w:trPr/>
        <w:tc>
          <w:tcPr>
            <w:tcW w:w="2506"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ind w:left="0" w:right="0" w:hanging="180"/>
              <w:jc w:val="left"/>
              <w:rPr/>
            </w:pPr>
            <w:r>
              <w:rPr/>
              <w:t> </w:t>
            </w:r>
          </w:p>
        </w:tc>
      </w:tr>
      <w:tr>
        <w:trPr/>
        <w:tc>
          <w:tcPr>
            <w:tcW w:w="250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center"/>
              <w:rPr>
                <w:b/>
              </w:rPr>
            </w:pPr>
            <w:r>
              <w:rPr>
                <w:b/>
              </w:rPr>
              <w:t>other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ind w:left="0" w:right="0" w:hanging="180"/>
              <w:jc w:val="left"/>
              <w:rPr/>
            </w:pPr>
            <w:r>
              <w:rPr/>
              <w:t> </w:t>
            </w:r>
          </w:p>
        </w:tc>
      </w:tr>
      <w:tr>
        <w:trPr/>
        <w:tc>
          <w:tcPr>
            <w:tcW w:w="250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Number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center"/>
              <w:rPr>
                <w:b/>
              </w:rPr>
            </w:pPr>
            <w:r>
              <w:rPr>
                <w:b/>
              </w:rP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ind w:left="0" w:right="0" w:hanging="180"/>
              <w:jc w:val="left"/>
              <w:rPr/>
            </w:pPr>
            <w:r>
              <w:rPr/>
              <w:t> </w:t>
            </w:r>
          </w:p>
        </w:tc>
      </w:tr>
      <w:tr>
        <w:trPr/>
        <w:tc>
          <w:tcPr>
            <w:tcW w:w="250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84" w:type="dxa"/>
            <w:tcBorders/>
            <w:vAlign w:val="center"/>
          </w:tcPr>
          <w:p>
            <w:pPr>
              <w:pStyle w:val="TableContents"/>
              <w:bidi w:val="0"/>
              <w:spacing w:before="0" w:after="283"/>
              <w:ind w:left="0" w:right="0" w:hanging="180"/>
              <w:jc w:val="left"/>
              <w:rPr/>
            </w:pPr>
            <w:r>
              <w:rPr/>
              <w:t> </w:t>
            </w:r>
          </w:p>
        </w:tc>
      </w:tr>
      <w:tr>
        <w:trPr/>
        <w:tc>
          <w:tcPr>
            <w:tcW w:w="25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5" w:type="dxa"/>
            <w:gridSpan w:val="22"/>
            <w:tcBorders/>
            <w:vAlign w:val="center"/>
          </w:tcPr>
          <w:p>
            <w:pPr>
              <w:pStyle w:val="TableContents"/>
              <w:bidi w:val="0"/>
              <w:spacing w:before="0" w:after="283"/>
              <w:jc w:val="center"/>
              <w:rPr>
                <w:b/>
              </w:rPr>
            </w:pPr>
            <w:r>
              <w:rPr>
                <w:b/>
              </w:rPr>
              <w:t>U.S. Dollars in thousands</w:t>
            </w:r>
          </w:p>
        </w:tc>
        <w:tc>
          <w:tcPr>
            <w:tcW w:w="84" w:type="dxa"/>
            <w:tcBorders/>
            <w:vAlign w:val="center"/>
          </w:tcPr>
          <w:p>
            <w:pPr>
              <w:pStyle w:val="TableContents"/>
              <w:bidi w:val="0"/>
              <w:spacing w:before="0" w:after="283"/>
              <w:ind w:left="0" w:right="0" w:hanging="180"/>
              <w:jc w:val="left"/>
              <w:rPr/>
            </w:pPr>
            <w:r>
              <w:rPr/>
              <w:t> </w:t>
            </w:r>
          </w:p>
        </w:tc>
      </w:tr>
      <w:tr>
        <w:trPr/>
        <w:tc>
          <w:tcPr>
            <w:tcW w:w="2506" w:type="dxa"/>
            <w:tcBorders/>
            <w:shd w:fill="CCEEFF" w:val="clear"/>
            <w:vAlign w:val="center"/>
          </w:tcPr>
          <w:p>
            <w:pPr>
              <w:pStyle w:val="TableContents"/>
              <w:bidi w:val="0"/>
              <w:spacing w:before="0" w:after="283"/>
              <w:jc w:val="left"/>
              <w:rPr>
                <w:b/>
              </w:rPr>
            </w:pPr>
            <w:r>
              <w:rPr>
                <w:b/>
              </w:rPr>
              <w:t>BALANCE AT APRIL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63,819,170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181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563,975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(386,988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177,165</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506" w:type="dxa"/>
            <w:tcBorders/>
            <w:shd w:fill="FFFFFF" w:val="clear"/>
            <w:vAlign w:val="center"/>
          </w:tcPr>
          <w:p>
            <w:pPr>
              <w:pStyle w:val="TableContents"/>
              <w:bidi w:val="0"/>
              <w:spacing w:before="0" w:after="283"/>
              <w:jc w:val="left"/>
              <w:rPr>
                <w:b/>
              </w:rPr>
            </w:pPr>
            <w:r>
              <w:rPr>
                <w:b/>
              </w:rPr>
              <w:t>Changes during the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506" w:type="dxa"/>
            <w:tcBorders/>
            <w:shd w:fill="CCEEFF" w:val="clear"/>
            <w:vAlign w:val="center"/>
          </w:tcPr>
          <w:p>
            <w:pPr>
              <w:pStyle w:val="TableContents"/>
              <w:bidi w:val="0"/>
              <w:spacing w:before="0" w:after="283"/>
              <w:jc w:val="left"/>
              <w:rPr/>
            </w:pPr>
            <w:r>
              <w:rPr/>
              <w:t>Issuance of ordinary shares upon exercise of RSUs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506" w:type="dxa"/>
            <w:tcBorders/>
            <w:shd w:fill="FFFFFF" w:val="clear"/>
            <w:vAlign w:val="center"/>
          </w:tcPr>
          <w:p>
            <w:pPr>
              <w:pStyle w:val="TableContents"/>
              <w:bidi w:val="0"/>
              <w:spacing w:before="0" w:after="283"/>
              <w:jc w:val="left"/>
              <w:rPr/>
            </w:pPr>
            <w:r>
              <w:rPr/>
              <w:t>Issuance of ordinary shares upon exercise of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506" w:type="dxa"/>
            <w:tcBorders/>
            <w:shd w:fill="CCEEFF" w:val="clear"/>
            <w:vAlign w:val="center"/>
          </w:tcPr>
          <w:p>
            <w:pPr>
              <w:pStyle w:val="TableContents"/>
              <w:bidi w:val="0"/>
              <w:spacing w:before="0" w:after="283"/>
              <w:jc w:val="left"/>
              <w:rPr/>
            </w:pPr>
            <w:r>
              <w:rPr/>
              <w:t>Issuance of ordinary shares due the settlement of contingent earnout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116,226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506" w:type="dxa"/>
            <w:tcBorders/>
            <w:shd w:fill="FFFFFF" w:val="clear"/>
            <w:vAlign w:val="center"/>
          </w:tcPr>
          <w:p>
            <w:pPr>
              <w:pStyle w:val="TableContents"/>
              <w:bidi w:val="0"/>
              <w:spacing w:before="0" w:after="283"/>
              <w:jc w:val="left"/>
              <w:rPr/>
            </w:pPr>
            <w:r>
              <w:rPr/>
              <w:t>Unrealized gain from marketable securities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506"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20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1,111</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506" w:type="dxa"/>
            <w:tcBorders/>
            <w:shd w:fill="FFFFFF" w:val="clear"/>
            <w:vAlign w:val="center"/>
          </w:tcPr>
          <w:p>
            <w:pPr>
              <w:pStyle w:val="TableContents"/>
              <w:bidi w:val="0"/>
              <w:spacing w:before="0" w:after="283"/>
              <w:jc w:val="left"/>
              <w:rPr/>
            </w:pPr>
            <w:r>
              <w:rPr/>
              <w:t>Net 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pPr>
            <w:r>
              <w:rPr/>
              <w:t>(14,722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(14,722</w:t>
            </w:r>
          </w:p>
        </w:tc>
        <w:tc>
          <w:tcPr>
            <w:tcW w:w="84" w:type="dxa"/>
            <w:tcBorders/>
            <w:shd w:fill="FFFFFF" w:val="clear"/>
            <w:vAlign w:val="center"/>
          </w:tcPr>
          <w:p>
            <w:pPr>
              <w:pStyle w:val="TableContents"/>
              <w:bidi w:val="0"/>
              <w:spacing w:before="0" w:after="283"/>
              <w:ind w:left="0" w:right="0" w:hanging="180"/>
              <w:jc w:val="left"/>
              <w:rPr/>
            </w:pPr>
            <w:r>
              <w:rPr/>
              <w:t>)</w:t>
            </w:r>
          </w:p>
        </w:tc>
      </w:tr>
      <w:tr>
        <w:trPr/>
        <w:tc>
          <w:tcPr>
            <w:tcW w:w="2506" w:type="dxa"/>
            <w:tcBorders/>
            <w:shd w:fill="CCEEFF" w:val="clear"/>
            <w:vAlign w:val="center"/>
          </w:tcPr>
          <w:p>
            <w:pPr>
              <w:pStyle w:val="TableContents"/>
              <w:bidi w:val="0"/>
              <w:spacing w:before="0" w:after="283"/>
              <w:jc w:val="left"/>
              <w:rPr>
                <w:b/>
              </w:rPr>
            </w:pPr>
            <w:r>
              <w:rPr>
                <w:b/>
              </w:rPr>
              <w:t>BALANCE AT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63,939,620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43" w:type="dxa"/>
            <w:tcBorders>
              <w:bottom w:val="double" w:sz="10" w:space="0" w:color="000000"/>
            </w:tcBorders>
            <w:shd w:fill="CCEEFF" w:val="clear"/>
            <w:tcMar>
              <w:bottom w:w="28" w:type="dxa"/>
            </w:tcMar>
            <w:vAlign w:val="center"/>
          </w:tcPr>
          <w:p>
            <w:pPr>
              <w:pStyle w:val="TableContents"/>
              <w:bidi w:val="0"/>
              <w:spacing w:before="0" w:after="283"/>
              <w:jc w:val="right"/>
              <w:rPr/>
            </w:pPr>
            <w:r>
              <w:rPr/>
              <w:t>181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double" w:sz="10" w:space="0" w:color="000000"/>
            </w:tcBorders>
            <w:shd w:fill="CCEEFF" w:val="clear"/>
            <w:tcMar>
              <w:bottom w:w="28" w:type="dxa"/>
            </w:tcMar>
            <w:vAlign w:val="center"/>
          </w:tcPr>
          <w:p>
            <w:pPr>
              <w:pStyle w:val="TableContents"/>
              <w:bidi w:val="0"/>
              <w:spacing w:before="0" w:after="283"/>
              <w:jc w:val="right"/>
              <w:rPr/>
            </w:pPr>
            <w:r>
              <w:rPr/>
              <w:t>565,086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2" w:type="dxa"/>
            <w:tcBorders>
              <w:bottom w:val="double" w:sz="10" w:space="0" w:color="000000"/>
            </w:tcBorders>
            <w:shd w:fill="CCEEFF" w:val="clear"/>
            <w:tcMar>
              <w:bottom w:w="28" w:type="dxa"/>
            </w:tcM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double" w:sz="10" w:space="0" w:color="000000"/>
            </w:tcBorders>
            <w:shd w:fill="CCEEFF" w:val="clear"/>
            <w:tcMar>
              <w:bottom w:w="28" w:type="dxa"/>
            </w:tcMar>
            <w:vAlign w:val="center"/>
          </w:tcPr>
          <w:p>
            <w:pPr>
              <w:pStyle w:val="TableContents"/>
              <w:bidi w:val="0"/>
              <w:spacing w:before="0" w:after="283"/>
              <w:jc w:val="right"/>
              <w:rPr/>
            </w:pPr>
            <w:r>
              <w:rPr/>
              <w:t>(401,710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163,558</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155"/>
        <w:gridCol w:w="1295"/>
      </w:tblGrid>
      <w:tr>
        <w:trPr/>
        <w:tc>
          <w:tcPr>
            <w:tcW w:w="155"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283"/>
              <w:jc w:val="both"/>
              <w:rPr/>
            </w:pPr>
            <w:r>
              <w:rPr/>
              <w:t>Less than $1.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IMAGING LTD.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55"/>
        <w:gridCol w:w="60"/>
        <w:gridCol w:w="63"/>
        <w:gridCol w:w="795"/>
        <w:gridCol w:w="99"/>
        <w:gridCol w:w="63"/>
        <w:gridCol w:w="63"/>
        <w:gridCol w:w="795"/>
        <w:gridCol w:w="112"/>
      </w:tblGrid>
      <w:tr>
        <w:trPr/>
        <w:tc>
          <w:tcPr>
            <w:tcW w:w="8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2" w:type="dxa"/>
            <w:tcBorders/>
            <w:vAlign w:val="center"/>
          </w:tcPr>
          <w:p>
            <w:pPr>
              <w:pStyle w:val="TableContents"/>
              <w:bidi w:val="0"/>
              <w:spacing w:before="0" w:after="283"/>
              <w:jc w:val="left"/>
              <w:rPr/>
            </w:pPr>
            <w:r>
              <w:rPr/>
              <w:t> </w:t>
            </w:r>
          </w:p>
        </w:tc>
      </w:tr>
      <w:tr>
        <w:trPr/>
        <w:tc>
          <w:tcPr>
            <w:tcW w:w="8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9"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8155"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858" w:type="dxa"/>
            <w:gridSpan w:val="2"/>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58"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r>
      <w:tr>
        <w:trPr/>
        <w:tc>
          <w:tcPr>
            <w:tcW w:w="8155" w:type="dxa"/>
            <w:tcBorders/>
            <w:shd w:fill="CCEEFF" w:val="clear"/>
            <w:vAlign w:val="center"/>
          </w:tcPr>
          <w:p>
            <w:pPr>
              <w:pStyle w:val="TableContents"/>
              <w:bidi w:val="0"/>
              <w:spacing w:before="0" w:after="283"/>
              <w:jc w:val="left"/>
              <w:rPr/>
            </w:pPr>
            <w:r>
              <w:rPr/>
              <w:t>Net loss for the period</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(69,752</w:t>
            </w:r>
          </w:p>
        </w:tc>
        <w:tc>
          <w:tcPr>
            <w:tcW w:w="99"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(27,961</w:t>
            </w:r>
          </w:p>
        </w:tc>
        <w:tc>
          <w:tcPr>
            <w:tcW w:w="112" w:type="dxa"/>
            <w:tcBorders/>
            <w:shd w:fill="CCEEFF" w:val="clear"/>
            <w:vAlign w:val="center"/>
          </w:tcPr>
          <w:p>
            <w:pPr>
              <w:pStyle w:val="TableContents"/>
              <w:bidi w:val="0"/>
              <w:spacing w:before="0" w:after="283"/>
              <w:jc w:val="left"/>
              <w:rPr/>
            </w:pPr>
            <w:r>
              <w:rPr/>
              <w:t>)</w:t>
            </w:r>
          </w:p>
        </w:tc>
      </w:tr>
      <w:tr>
        <w:trPr/>
        <w:tc>
          <w:tcPr>
            <w:tcW w:w="8155" w:type="dxa"/>
            <w:tcBorders/>
            <w:shd w:fill="FFFFFF" w:val="clear"/>
            <w:vAlign w:val="center"/>
          </w:tcPr>
          <w:p>
            <w:pPr>
              <w:pStyle w:val="TableContents"/>
              <w:bidi w:val="0"/>
              <w:spacing w:before="0" w:after="283"/>
              <w:jc w:val="left"/>
              <w:rPr/>
            </w:pPr>
            <w:r>
              <w:rPr/>
              <w:t>Adjustments required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8155" w:type="dxa"/>
            <w:tcBorders/>
            <w:shd w:fill="CCEEFF" w:val="clear"/>
            <w:vAlign w:val="center"/>
          </w:tcPr>
          <w:p>
            <w:pPr>
              <w:pStyle w:val="TableContents"/>
              <w:bidi w:val="0"/>
              <w:spacing w:before="0" w:after="283"/>
              <w:jc w:val="left"/>
              <w:rPr/>
            </w:pPr>
            <w:r>
              <w:rPr/>
              <w:t>–</w:t>
            </w:r>
            <w:r>
              <w:rPr/>
              <w:t>Share-based compensation</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1,710</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2,277</w:t>
            </w:r>
          </w:p>
        </w:tc>
        <w:tc>
          <w:tcPr>
            <w:tcW w:w="112" w:type="dxa"/>
            <w:tcBorders/>
            <w:shd w:fill="CCEEFF" w:val="clear"/>
            <w:vAlign w:val="center"/>
          </w:tcPr>
          <w:p>
            <w:pPr>
              <w:pStyle w:val="TableContents"/>
              <w:bidi w:val="0"/>
              <w:spacing w:before="0" w:after="283"/>
              <w:jc w:val="left"/>
              <w:rPr/>
            </w:pPr>
            <w:r>
              <w:rPr/>
              <w:t> </w:t>
            </w:r>
          </w:p>
        </w:tc>
      </w:tr>
      <w:tr>
        <w:trPr/>
        <w:tc>
          <w:tcPr>
            <w:tcW w:w="8155" w:type="dxa"/>
            <w:tcBorders/>
            <w:shd w:fill="FFFFFF" w:val="clear"/>
            <w:vAlign w:val="center"/>
          </w:tcPr>
          <w:p>
            <w:pPr>
              <w:pStyle w:val="TableContents"/>
              <w:bidi w:val="0"/>
              <w:spacing w:before="0" w:after="283"/>
              <w:jc w:val="left"/>
              <w:rPr/>
            </w:pPr>
            <w:r>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5,009</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5,306</w:t>
            </w:r>
          </w:p>
        </w:tc>
        <w:tc>
          <w:tcPr>
            <w:tcW w:w="112" w:type="dxa"/>
            <w:tcBorders/>
            <w:shd w:fill="FFFFFF" w:val="clear"/>
            <w:vAlign w:val="center"/>
          </w:tcPr>
          <w:p>
            <w:pPr>
              <w:pStyle w:val="TableContents"/>
              <w:bidi w:val="0"/>
              <w:spacing w:before="0" w:after="283"/>
              <w:jc w:val="left"/>
              <w:rPr/>
            </w:pPr>
            <w:r>
              <w:rPr/>
              <w:t> </w:t>
            </w:r>
          </w:p>
        </w:tc>
      </w:tr>
      <w:tr>
        <w:trPr/>
        <w:tc>
          <w:tcPr>
            <w:tcW w:w="8155" w:type="dxa"/>
            <w:tcBorders/>
            <w:shd w:fill="CCEEFF" w:val="clear"/>
            <w:vAlign w:val="center"/>
          </w:tcPr>
          <w:p>
            <w:pPr>
              <w:pStyle w:val="TableContents"/>
              <w:bidi w:val="0"/>
              <w:spacing w:before="0" w:after="283"/>
              <w:jc w:val="left"/>
              <w:rPr/>
            </w:pPr>
            <w:r>
              <w:rPr/>
              <w:t>Impairment of Intangible assets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40,695</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8155" w:type="dxa"/>
            <w:tcBorders/>
            <w:shd w:fill="FFFFFF" w:val="clear"/>
            <w:vAlign w:val="center"/>
          </w:tcPr>
          <w:p>
            <w:pPr>
              <w:pStyle w:val="TableContents"/>
              <w:bidi w:val="0"/>
              <w:spacing w:before="0" w:after="283"/>
              <w:jc w:val="left"/>
              <w:rPr/>
            </w:pPr>
            <w:r>
              <w:rPr/>
              <w:t>Change in contingent earnout liability</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27</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8155"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629</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586</w:t>
            </w:r>
          </w:p>
        </w:tc>
        <w:tc>
          <w:tcPr>
            <w:tcW w:w="112" w:type="dxa"/>
            <w:tcBorders/>
            <w:shd w:fill="CCEEFF" w:val="clear"/>
            <w:vAlign w:val="center"/>
          </w:tcPr>
          <w:p>
            <w:pPr>
              <w:pStyle w:val="TableContents"/>
              <w:bidi w:val="0"/>
              <w:spacing w:before="0" w:after="283"/>
              <w:jc w:val="left"/>
              <w:rPr/>
            </w:pPr>
            <w:r>
              <w:rPr/>
              <w:t> </w:t>
            </w:r>
          </w:p>
        </w:tc>
      </w:tr>
      <w:tr>
        <w:trPr/>
        <w:tc>
          <w:tcPr>
            <w:tcW w:w="8155" w:type="dxa"/>
            <w:tcBorders/>
            <w:shd w:fill="FFFFFF" w:val="clear"/>
            <w:vAlign w:val="center"/>
          </w:tcPr>
          <w:p>
            <w:pPr>
              <w:pStyle w:val="TableContents"/>
              <w:bidi w:val="0"/>
              <w:spacing w:before="0" w:after="283"/>
              <w:jc w:val="left"/>
              <w:rPr/>
            </w:pPr>
            <w:r>
              <w:rPr/>
              <w:t>Deferred tax liability, net</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(189</w:t>
            </w:r>
          </w:p>
        </w:tc>
        <w:tc>
          <w:tcPr>
            <w:tcW w:w="99"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(188</w:t>
            </w:r>
          </w:p>
        </w:tc>
        <w:tc>
          <w:tcPr>
            <w:tcW w:w="112" w:type="dxa"/>
            <w:tcBorders/>
            <w:shd w:fill="FFFFFF" w:val="clear"/>
            <w:vAlign w:val="center"/>
          </w:tcPr>
          <w:p>
            <w:pPr>
              <w:pStyle w:val="TableContents"/>
              <w:bidi w:val="0"/>
              <w:spacing w:before="0" w:after="283"/>
              <w:jc w:val="left"/>
              <w:rPr/>
            </w:pPr>
            <w:r>
              <w:rPr/>
              <w:t>)</w:t>
            </w:r>
          </w:p>
        </w:tc>
      </w:tr>
      <w:tr>
        <w:trPr/>
        <w:tc>
          <w:tcPr>
            <w:tcW w:w="8155" w:type="dxa"/>
            <w:tcBorders/>
            <w:shd w:fill="CCEEFF" w:val="clear"/>
            <w:vAlign w:val="center"/>
          </w:tcPr>
          <w:p>
            <w:pPr>
              <w:pStyle w:val="TableContents"/>
              <w:bidi w:val="0"/>
              <w:spacing w:before="0" w:after="283"/>
              <w:jc w:val="left"/>
              <w:rPr/>
            </w:pPr>
            <w:r>
              <w:rPr/>
              <w:t>Exchange rate differentials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(7</w:t>
            </w:r>
          </w:p>
        </w:tc>
        <w:tc>
          <w:tcPr>
            <w:tcW w:w="99"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329</w:t>
            </w:r>
          </w:p>
        </w:tc>
        <w:tc>
          <w:tcPr>
            <w:tcW w:w="112" w:type="dxa"/>
            <w:tcBorders/>
            <w:shd w:fill="CCEEFF" w:val="clear"/>
            <w:vAlign w:val="center"/>
          </w:tcPr>
          <w:p>
            <w:pPr>
              <w:pStyle w:val="TableContents"/>
              <w:bidi w:val="0"/>
              <w:spacing w:before="0" w:after="283"/>
              <w:jc w:val="left"/>
              <w:rPr/>
            </w:pPr>
            <w:r>
              <w:rPr/>
              <w:t> </w:t>
            </w:r>
          </w:p>
        </w:tc>
      </w:tr>
      <w:tr>
        <w:trPr/>
        <w:tc>
          <w:tcPr>
            <w:tcW w:w="8155" w:type="dxa"/>
            <w:tcBorders/>
            <w:shd w:fill="FFFFFF" w:val="clear"/>
            <w:vAlign w:val="center"/>
          </w:tcPr>
          <w:p>
            <w:pPr>
              <w:pStyle w:val="TableContents"/>
              <w:bidi w:val="0"/>
              <w:spacing w:before="0" w:after="283"/>
              <w:jc w:val="left"/>
              <w:rPr/>
            </w:pPr>
            <w:r>
              <w:rPr/>
              <w:t>Amortization of premium, discount and accrued interest on marketable securities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64</w:t>
            </w:r>
          </w:p>
        </w:tc>
        <w:tc>
          <w:tcPr>
            <w:tcW w:w="112" w:type="dxa"/>
            <w:tcBorders/>
            <w:shd w:fill="FFFFFF" w:val="clear"/>
            <w:vAlign w:val="center"/>
          </w:tcPr>
          <w:p>
            <w:pPr>
              <w:pStyle w:val="TableContents"/>
              <w:bidi w:val="0"/>
              <w:spacing w:before="0" w:after="283"/>
              <w:jc w:val="left"/>
              <w:rPr/>
            </w:pPr>
            <w:r>
              <w:rPr/>
              <w:t> </w:t>
            </w:r>
          </w:p>
        </w:tc>
      </w:tr>
      <w:tr>
        <w:trPr/>
        <w:tc>
          <w:tcPr>
            <w:tcW w:w="8155" w:type="dxa"/>
            <w:tcBorders/>
            <w:shd w:fill="CCEEFF" w:val="clear"/>
            <w:vAlign w:val="center"/>
          </w:tcPr>
          <w:p>
            <w:pPr>
              <w:pStyle w:val="TableContents"/>
              <w:bidi w:val="0"/>
              <w:spacing w:before="0" w:after="283"/>
              <w:jc w:val="left"/>
              <w:rPr/>
            </w:pPr>
            <w:r>
              <w:rPr/>
              <w:t>Interest on long-term deposits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(243</w:t>
            </w:r>
          </w:p>
        </w:tc>
        <w:tc>
          <w:tcPr>
            <w:tcW w:w="112" w:type="dxa"/>
            <w:tcBorders/>
            <w:shd w:fill="CCEEFF" w:val="clear"/>
            <w:vAlign w:val="center"/>
          </w:tcPr>
          <w:p>
            <w:pPr>
              <w:pStyle w:val="TableContents"/>
              <w:bidi w:val="0"/>
              <w:spacing w:before="0" w:after="283"/>
              <w:jc w:val="left"/>
              <w:rPr/>
            </w:pPr>
            <w:r>
              <w:rPr/>
              <w:t>)</w:t>
            </w:r>
          </w:p>
        </w:tc>
      </w:tr>
      <w:tr>
        <w:trPr/>
        <w:tc>
          <w:tcPr>
            <w:tcW w:w="8155" w:type="dxa"/>
            <w:tcBorders/>
            <w:shd w:fill="FFFFFF" w:val="clear"/>
            <w:vAlign w:val="center"/>
          </w:tcPr>
          <w:p>
            <w:pPr>
              <w:pStyle w:val="TableContents"/>
              <w:bidi w:val="0"/>
              <w:spacing w:before="0" w:after="283"/>
              <w:jc w:val="left"/>
              <w:rPr/>
            </w:pPr>
            <w:r>
              <w:rPr/>
              <w:t>Interest on short-term deposits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(92</w:t>
            </w:r>
          </w:p>
        </w:tc>
        <w:tc>
          <w:tcPr>
            <w:tcW w:w="99"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8155" w:type="dxa"/>
            <w:tcBorders/>
            <w:shd w:fill="CCEEFF" w:val="clear"/>
            <w:vAlign w:val="center"/>
          </w:tcPr>
          <w:p>
            <w:pPr>
              <w:pStyle w:val="TableContents"/>
              <w:bidi w:val="0"/>
              <w:spacing w:before="0" w:after="283"/>
              <w:jc w:val="left"/>
              <w:rPr/>
            </w:pPr>
            <w:r>
              <w:rPr/>
              <w:t>Loss from disposal of property and equipment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71</w:t>
            </w:r>
          </w:p>
        </w:tc>
        <w:tc>
          <w:tcPr>
            <w:tcW w:w="112" w:type="dxa"/>
            <w:tcBorders/>
            <w:shd w:fill="CCEEFF" w:val="clear"/>
            <w:vAlign w:val="center"/>
          </w:tcPr>
          <w:p>
            <w:pPr>
              <w:pStyle w:val="TableContents"/>
              <w:bidi w:val="0"/>
              <w:spacing w:before="0" w:after="283"/>
              <w:jc w:val="left"/>
              <w:rPr/>
            </w:pPr>
            <w:r>
              <w:rPr/>
              <w:t> </w:t>
            </w:r>
          </w:p>
        </w:tc>
      </w:tr>
      <w:tr>
        <w:trPr/>
        <w:tc>
          <w:tcPr>
            <w:tcW w:w="8155"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8155"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126</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(75</w:t>
            </w:r>
          </w:p>
        </w:tc>
        <w:tc>
          <w:tcPr>
            <w:tcW w:w="112" w:type="dxa"/>
            <w:tcBorders/>
            <w:shd w:fill="CCEEFF" w:val="clear"/>
            <w:vAlign w:val="center"/>
          </w:tcPr>
          <w:p>
            <w:pPr>
              <w:pStyle w:val="TableContents"/>
              <w:bidi w:val="0"/>
              <w:spacing w:before="0" w:after="283"/>
              <w:jc w:val="left"/>
              <w:rPr/>
            </w:pPr>
            <w:r>
              <w:rPr/>
              <w:t>)</w:t>
            </w:r>
          </w:p>
        </w:tc>
      </w:tr>
      <w:tr>
        <w:trPr/>
        <w:tc>
          <w:tcPr>
            <w:tcW w:w="8155" w:type="dxa"/>
            <w:tcBorders/>
            <w:shd w:fill="FFFFFF" w:val="clear"/>
            <w:vAlign w:val="center"/>
          </w:tcPr>
          <w:p>
            <w:pPr>
              <w:pStyle w:val="TableContents"/>
              <w:bidi w:val="0"/>
              <w:spacing w:before="0" w:after="283"/>
              <w:jc w:val="left"/>
              <w:rPr/>
            </w:pPr>
            <w:r>
              <w:rPr/>
              <w:t>Change in inventories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(1,063</w:t>
            </w:r>
          </w:p>
        </w:tc>
        <w:tc>
          <w:tcPr>
            <w:tcW w:w="99"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(63</w:t>
            </w:r>
          </w:p>
        </w:tc>
        <w:tc>
          <w:tcPr>
            <w:tcW w:w="112" w:type="dxa"/>
            <w:tcBorders/>
            <w:shd w:fill="FFFFFF" w:val="clear"/>
            <w:vAlign w:val="center"/>
          </w:tcPr>
          <w:p>
            <w:pPr>
              <w:pStyle w:val="TableContents"/>
              <w:bidi w:val="0"/>
              <w:spacing w:before="0" w:after="283"/>
              <w:jc w:val="left"/>
              <w:rPr/>
            </w:pPr>
            <w:r>
              <w:rPr/>
              <w:t>)</w:t>
            </w:r>
          </w:p>
        </w:tc>
      </w:tr>
      <w:tr>
        <w:trPr/>
        <w:tc>
          <w:tcPr>
            <w:tcW w:w="8155"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(558</w:t>
            </w:r>
          </w:p>
        </w:tc>
        <w:tc>
          <w:tcPr>
            <w:tcW w:w="99"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776</w:t>
            </w:r>
          </w:p>
        </w:tc>
        <w:tc>
          <w:tcPr>
            <w:tcW w:w="112" w:type="dxa"/>
            <w:tcBorders/>
            <w:shd w:fill="CCEEFF" w:val="clear"/>
            <w:vAlign w:val="center"/>
          </w:tcPr>
          <w:p>
            <w:pPr>
              <w:pStyle w:val="TableContents"/>
              <w:bidi w:val="0"/>
              <w:spacing w:before="0" w:after="283"/>
              <w:jc w:val="left"/>
              <w:rPr/>
            </w:pPr>
            <w:r>
              <w:rPr/>
              <w:t> </w:t>
            </w:r>
          </w:p>
        </w:tc>
      </w:tr>
      <w:tr>
        <w:trPr/>
        <w:tc>
          <w:tcPr>
            <w:tcW w:w="8155"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142</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30</w:t>
            </w:r>
          </w:p>
        </w:tc>
        <w:tc>
          <w:tcPr>
            <w:tcW w:w="112" w:type="dxa"/>
            <w:tcBorders/>
            <w:shd w:fill="FFFFFF" w:val="clear"/>
            <w:vAlign w:val="center"/>
          </w:tcPr>
          <w:p>
            <w:pPr>
              <w:pStyle w:val="TableContents"/>
              <w:bidi w:val="0"/>
              <w:spacing w:before="0" w:after="283"/>
              <w:jc w:val="left"/>
              <w:rPr/>
            </w:pPr>
            <w:r>
              <w:rPr/>
              <w:t> </w:t>
            </w:r>
          </w:p>
        </w:tc>
      </w:tr>
      <w:tr>
        <w:trPr/>
        <w:tc>
          <w:tcPr>
            <w:tcW w:w="815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(748</w:t>
            </w:r>
          </w:p>
        </w:tc>
        <w:tc>
          <w:tcPr>
            <w:tcW w:w="99"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(322</w:t>
            </w:r>
          </w:p>
        </w:tc>
        <w:tc>
          <w:tcPr>
            <w:tcW w:w="112" w:type="dxa"/>
            <w:tcBorders/>
            <w:shd w:fill="CCEEFF" w:val="clear"/>
            <w:vAlign w:val="center"/>
          </w:tcPr>
          <w:p>
            <w:pPr>
              <w:pStyle w:val="TableContents"/>
              <w:bidi w:val="0"/>
              <w:spacing w:before="0" w:after="283"/>
              <w:jc w:val="left"/>
              <w:rPr/>
            </w:pPr>
            <w:r>
              <w:rPr/>
              <w:t>)</w:t>
            </w:r>
          </w:p>
        </w:tc>
      </w:tr>
      <w:tr>
        <w:trPr/>
        <w:tc>
          <w:tcPr>
            <w:tcW w:w="8155" w:type="dxa"/>
            <w:tcBorders/>
            <w:shd w:fill="FFFFFF" w:val="clear"/>
            <w:vAlign w:val="center"/>
          </w:tcPr>
          <w:p>
            <w:pPr>
              <w:pStyle w:val="TableContents"/>
              <w:bidi w:val="0"/>
              <w:spacing w:before="0" w:after="283"/>
              <w:jc w:val="left"/>
              <w:rPr/>
            </w:pPr>
            <w:r>
              <w:rPr/>
              <w:t>Accrued expenses and other liabilities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(1,516</w:t>
            </w:r>
          </w:p>
        </w:tc>
        <w:tc>
          <w:tcPr>
            <w:tcW w:w="99"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(840</w:t>
            </w:r>
          </w:p>
        </w:tc>
        <w:tc>
          <w:tcPr>
            <w:tcW w:w="112" w:type="dxa"/>
            <w:tcBorders/>
            <w:shd w:fill="FFFFFF" w:val="clear"/>
            <w:vAlign w:val="center"/>
          </w:tcPr>
          <w:p>
            <w:pPr>
              <w:pStyle w:val="TableContents"/>
              <w:bidi w:val="0"/>
              <w:spacing w:before="0" w:after="283"/>
              <w:jc w:val="left"/>
              <w:rPr/>
            </w:pPr>
            <w:r>
              <w:rPr/>
              <w:t>)</w:t>
            </w:r>
          </w:p>
        </w:tc>
      </w:tr>
      <w:tr>
        <w:trPr/>
        <w:tc>
          <w:tcPr>
            <w:tcW w:w="8155" w:type="dxa"/>
            <w:tcBorders/>
            <w:shd w:fill="CCEEFF" w:val="clear"/>
            <w:vAlign w:val="center"/>
          </w:tcPr>
          <w:p>
            <w:pPr>
              <w:pStyle w:val="TableContents"/>
              <w:bidi w:val="0"/>
              <w:spacing w:before="0" w:after="283"/>
              <w:jc w:val="left"/>
              <w:rPr/>
            </w:pPr>
            <w:r>
              <w:rPr/>
              <w:t>Operating lease assets and liabilities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300</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381</w:t>
            </w:r>
          </w:p>
        </w:tc>
        <w:tc>
          <w:tcPr>
            <w:tcW w:w="112" w:type="dxa"/>
            <w:tcBorders/>
            <w:shd w:fill="CCEEFF" w:val="clear"/>
            <w:vAlign w:val="center"/>
          </w:tcPr>
          <w:p>
            <w:pPr>
              <w:pStyle w:val="TableContents"/>
              <w:bidi w:val="0"/>
              <w:spacing w:before="0" w:after="283"/>
              <w:jc w:val="left"/>
              <w:rPr/>
            </w:pPr>
            <w:r>
              <w:rPr/>
              <w:t> </w:t>
            </w:r>
          </w:p>
        </w:tc>
      </w:tr>
      <w:tr>
        <w:trPr/>
        <w:tc>
          <w:tcPr>
            <w:tcW w:w="8155"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56</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84</w:t>
            </w:r>
          </w:p>
        </w:tc>
        <w:tc>
          <w:tcPr>
            <w:tcW w:w="112" w:type="dxa"/>
            <w:tcBorders/>
            <w:shd w:fill="FFFFFF" w:val="clear"/>
            <w:vAlign w:val="center"/>
          </w:tcPr>
          <w:p>
            <w:pPr>
              <w:pStyle w:val="TableContents"/>
              <w:bidi w:val="0"/>
              <w:spacing w:before="0" w:after="283"/>
              <w:jc w:val="left"/>
              <w:rPr/>
            </w:pPr>
            <w:r>
              <w:rPr/>
              <w:t> </w:t>
            </w:r>
          </w:p>
        </w:tc>
      </w:tr>
      <w:tr>
        <w:trPr/>
        <w:tc>
          <w:tcPr>
            <w:tcW w:w="8155" w:type="dxa"/>
            <w:tcBorders/>
            <w:shd w:fill="CCEEFF" w:val="clear"/>
            <w:vAlign w:val="center"/>
          </w:tcPr>
          <w:p>
            <w:pPr>
              <w:pStyle w:val="TableContents"/>
              <w:bidi w:val="0"/>
              <w:spacing w:before="0" w:after="283"/>
              <w:jc w:val="left"/>
              <w:rPr/>
            </w:pPr>
            <w:r>
              <w:rPr/>
              <w:t>Other long-term liabilities</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5" w:type="dxa"/>
            <w:tcBorders>
              <w:bottom w:val="single" w:sz="12" w:space="0" w:color="000000"/>
            </w:tcBorders>
            <w:shd w:fill="CCEEFF" w:val="clear"/>
            <w:tcMar>
              <w:bottom w:w="28" w:type="dxa"/>
            </w:tcMar>
            <w:vAlign w:val="center"/>
          </w:tcPr>
          <w:p>
            <w:pPr>
              <w:pStyle w:val="TableContents"/>
              <w:bidi w:val="0"/>
              <w:spacing w:before="0" w:after="283"/>
              <w:jc w:val="right"/>
              <w:rPr/>
            </w:pPr>
            <w:r>
              <w:rPr/>
              <w:t>(317</w:t>
            </w:r>
          </w:p>
        </w:tc>
        <w:tc>
          <w:tcPr>
            <w:tcW w:w="99"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5" w:type="dxa"/>
            <w:tcBorders>
              <w:bottom w:val="single" w:sz="12" w:space="0" w:color="000000"/>
            </w:tcBorders>
            <w:shd w:fill="CCEEFF" w:val="clear"/>
            <w:tcMar>
              <w:bottom w:w="28" w:type="dxa"/>
            </w:tcMar>
            <w:vAlign w:val="center"/>
          </w:tcPr>
          <w:p>
            <w:pPr>
              <w:pStyle w:val="TableContents"/>
              <w:bidi w:val="0"/>
              <w:spacing w:before="0" w:after="283"/>
              <w:jc w:val="right"/>
              <w:rPr/>
            </w:pPr>
            <w:r>
              <w:rPr/>
              <w:t>150</w:t>
            </w:r>
          </w:p>
        </w:tc>
        <w:tc>
          <w:tcPr>
            <w:tcW w:w="112" w:type="dxa"/>
            <w:tcBorders/>
            <w:shd w:fill="CCEEFF" w:val="clear"/>
            <w:vAlign w:val="center"/>
          </w:tcPr>
          <w:p>
            <w:pPr>
              <w:pStyle w:val="TableContents"/>
              <w:bidi w:val="0"/>
              <w:spacing w:before="0" w:after="283"/>
              <w:jc w:val="left"/>
              <w:rPr/>
            </w:pPr>
            <w:r>
              <w:rPr/>
              <w:t> </w:t>
            </w:r>
          </w:p>
        </w:tc>
      </w:tr>
      <w:tr>
        <w:trPr/>
        <w:tc>
          <w:tcPr>
            <w:tcW w:w="8155"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5" w:type="dxa"/>
            <w:tcBorders>
              <w:bottom w:val="single" w:sz="12" w:space="0" w:color="000000"/>
            </w:tcBorders>
            <w:shd w:fill="FFFFFF" w:val="clear"/>
            <w:tcMar>
              <w:bottom w:w="28" w:type="dxa"/>
            </w:tcMar>
            <w:vAlign w:val="center"/>
          </w:tcPr>
          <w:p>
            <w:pPr>
              <w:pStyle w:val="TableContents"/>
              <w:bidi w:val="0"/>
              <w:spacing w:before="0" w:after="283"/>
              <w:jc w:val="right"/>
              <w:rPr/>
            </w:pPr>
            <w:r>
              <w:rPr/>
              <w:t>(25,548</w:t>
            </w:r>
          </w:p>
        </w:tc>
        <w:tc>
          <w:tcPr>
            <w:tcW w:w="99"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5" w:type="dxa"/>
            <w:tcBorders>
              <w:bottom w:val="single" w:sz="12" w:space="0" w:color="000000"/>
            </w:tcBorders>
            <w:shd w:fill="FFFFFF" w:val="clear"/>
            <w:tcMar>
              <w:bottom w:w="28" w:type="dxa"/>
            </w:tcMar>
            <w:vAlign w:val="center"/>
          </w:tcPr>
          <w:p>
            <w:pPr>
              <w:pStyle w:val="TableContents"/>
              <w:bidi w:val="0"/>
              <w:spacing w:before="0" w:after="283"/>
              <w:jc w:val="right"/>
              <w:rPr/>
            </w:pPr>
            <w:r>
              <w:rPr/>
              <w:t>(19,638</w:t>
            </w:r>
          </w:p>
        </w:tc>
        <w:tc>
          <w:tcPr>
            <w:tcW w:w="112" w:type="dxa"/>
            <w:tcBorders/>
            <w:shd w:fill="FFFFFF" w:val="clear"/>
            <w:vAlign w:val="center"/>
          </w:tcPr>
          <w:p>
            <w:pPr>
              <w:pStyle w:val="TableContents"/>
              <w:bidi w:val="0"/>
              <w:spacing w:before="0" w:after="283"/>
              <w:jc w:val="left"/>
              <w:rPr/>
            </w:pPr>
            <w:r>
              <w:rPr/>
              <w:t>)</w:t>
            </w:r>
          </w:p>
        </w:tc>
      </w:tr>
      <w:tr>
        <w:trPr/>
        <w:tc>
          <w:tcPr>
            <w:tcW w:w="8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8155" w:type="dxa"/>
            <w:tcBorders/>
            <w:shd w:fill="FFFFFF" w:val="clear"/>
            <w:vAlign w:val="center"/>
          </w:tcPr>
          <w:p>
            <w:pPr>
              <w:pStyle w:val="TableContents"/>
              <w:bidi w:val="0"/>
              <w:spacing w:before="0" w:after="283"/>
              <w:jc w:val="left"/>
              <w:rPr>
                <w:b/>
              </w:rPr>
            </w:pPr>
            <w:r>
              <w:rPr>
                <w:b/>
              </w:rPr>
              <w:t>CASH FLOWS PROVIDED BY INVESTING ACTIVITIES: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8155" w:type="dxa"/>
            <w:tcBorders/>
            <w:shd w:fill="CCEEFF" w:val="clear"/>
            <w:vAlign w:val="center"/>
          </w:tcPr>
          <w:p>
            <w:pPr>
              <w:pStyle w:val="TableContents"/>
              <w:bidi w:val="0"/>
              <w:spacing w:before="0" w:after="283"/>
              <w:jc w:val="left"/>
              <w:rPr/>
            </w:pPr>
            <w:r>
              <w:rPr/>
              <w:t>Proceeds from maturity of marketable securities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16,295</w:t>
            </w:r>
          </w:p>
        </w:tc>
        <w:tc>
          <w:tcPr>
            <w:tcW w:w="112" w:type="dxa"/>
            <w:tcBorders/>
            <w:shd w:fill="CCEEFF" w:val="clear"/>
            <w:vAlign w:val="center"/>
          </w:tcPr>
          <w:p>
            <w:pPr>
              <w:pStyle w:val="TableContents"/>
              <w:bidi w:val="0"/>
              <w:spacing w:before="0" w:after="283"/>
              <w:jc w:val="left"/>
              <w:rPr/>
            </w:pPr>
            <w:r>
              <w:rPr/>
              <w:t> </w:t>
            </w:r>
          </w:p>
        </w:tc>
      </w:tr>
      <w:tr>
        <w:trPr/>
        <w:tc>
          <w:tcPr>
            <w:tcW w:w="8155" w:type="dxa"/>
            <w:tcBorders/>
            <w:shd w:fill="FFFFFF" w:val="clear"/>
            <w:vAlign w:val="center"/>
          </w:tcPr>
          <w:p>
            <w:pPr>
              <w:pStyle w:val="TableContents"/>
              <w:bidi w:val="0"/>
              <w:spacing w:before="0" w:after="283"/>
              <w:jc w:val="left"/>
              <w:rPr/>
            </w:pPr>
            <w:r>
              <w:rPr/>
              <w:t>Maturity of short-term deposits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10,551</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15,500</w:t>
            </w:r>
          </w:p>
        </w:tc>
        <w:tc>
          <w:tcPr>
            <w:tcW w:w="112" w:type="dxa"/>
            <w:tcBorders/>
            <w:shd w:fill="FFFFFF" w:val="clear"/>
            <w:vAlign w:val="center"/>
          </w:tcPr>
          <w:p>
            <w:pPr>
              <w:pStyle w:val="TableContents"/>
              <w:bidi w:val="0"/>
              <w:spacing w:before="0" w:after="283"/>
              <w:jc w:val="left"/>
              <w:rPr/>
            </w:pPr>
            <w:r>
              <w:rPr/>
              <w:t> </w:t>
            </w:r>
          </w:p>
        </w:tc>
      </w:tr>
      <w:tr>
        <w:trPr/>
        <w:tc>
          <w:tcPr>
            <w:tcW w:w="8155"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5" w:type="dxa"/>
            <w:tcBorders>
              <w:bottom w:val="single" w:sz="12" w:space="0" w:color="000000"/>
            </w:tcBorders>
            <w:shd w:fill="CCEEFF" w:val="clear"/>
            <w:tcMar>
              <w:bottom w:w="28" w:type="dxa"/>
            </w:tcMar>
            <w:vAlign w:val="center"/>
          </w:tcPr>
          <w:p>
            <w:pPr>
              <w:pStyle w:val="TableContents"/>
              <w:bidi w:val="0"/>
              <w:spacing w:before="0" w:after="283"/>
              <w:jc w:val="right"/>
              <w:rPr/>
            </w:pPr>
            <w:r>
              <w:rPr/>
              <w:t>(2,761</w:t>
            </w:r>
          </w:p>
        </w:tc>
        <w:tc>
          <w:tcPr>
            <w:tcW w:w="99"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5" w:type="dxa"/>
            <w:tcBorders>
              <w:bottom w:val="single" w:sz="12" w:space="0" w:color="000000"/>
            </w:tcBorders>
            <w:shd w:fill="CCEEFF" w:val="clear"/>
            <w:tcMar>
              <w:bottom w:w="28" w:type="dxa"/>
            </w:tcMar>
            <w:vAlign w:val="center"/>
          </w:tcPr>
          <w:p>
            <w:pPr>
              <w:pStyle w:val="TableContents"/>
              <w:bidi w:val="0"/>
              <w:spacing w:before="0" w:after="283"/>
              <w:jc w:val="right"/>
              <w:rPr/>
            </w:pPr>
            <w:r>
              <w:rPr/>
              <w:t>(1,579</w:t>
            </w:r>
          </w:p>
        </w:tc>
        <w:tc>
          <w:tcPr>
            <w:tcW w:w="112" w:type="dxa"/>
            <w:tcBorders/>
            <w:shd w:fill="CCEEFF" w:val="clear"/>
            <w:vAlign w:val="center"/>
          </w:tcPr>
          <w:p>
            <w:pPr>
              <w:pStyle w:val="TableContents"/>
              <w:bidi w:val="0"/>
              <w:spacing w:before="0" w:after="283"/>
              <w:jc w:val="left"/>
              <w:rPr/>
            </w:pPr>
            <w:r>
              <w:rPr/>
              <w:t>)</w:t>
            </w:r>
          </w:p>
        </w:tc>
      </w:tr>
      <w:tr>
        <w:trPr/>
        <w:tc>
          <w:tcPr>
            <w:tcW w:w="8155" w:type="dxa"/>
            <w:tcBorders/>
            <w:shd w:fill="FFFFFF" w:val="clear"/>
            <w:vAlign w:val="center"/>
          </w:tcPr>
          <w:p>
            <w:pPr>
              <w:pStyle w:val="TableContents"/>
              <w:bidi w:val="0"/>
              <w:spacing w:before="0" w:after="283"/>
              <w:jc w:val="left"/>
              <w:rPr/>
            </w:pPr>
            <w:r>
              <w:rPr/>
              <w:t>Net cash provided by investing activities</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5" w:type="dxa"/>
            <w:tcBorders>
              <w:bottom w:val="single" w:sz="12" w:space="0" w:color="000000"/>
            </w:tcBorders>
            <w:shd w:fill="FFFFFF" w:val="clear"/>
            <w:tcMar>
              <w:bottom w:w="28" w:type="dxa"/>
            </w:tcMar>
            <w:vAlign w:val="center"/>
          </w:tcPr>
          <w:p>
            <w:pPr>
              <w:pStyle w:val="TableContents"/>
              <w:bidi w:val="0"/>
              <w:spacing w:before="0" w:after="283"/>
              <w:jc w:val="right"/>
              <w:rPr/>
            </w:pPr>
            <w:r>
              <w:rPr/>
              <w:t>7,790</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5" w:type="dxa"/>
            <w:tcBorders>
              <w:bottom w:val="single" w:sz="12" w:space="0" w:color="000000"/>
            </w:tcBorders>
            <w:shd w:fill="FFFFFF" w:val="clear"/>
            <w:tcMar>
              <w:bottom w:w="28" w:type="dxa"/>
            </w:tcMar>
            <w:vAlign w:val="center"/>
          </w:tcPr>
          <w:p>
            <w:pPr>
              <w:pStyle w:val="TableContents"/>
              <w:bidi w:val="0"/>
              <w:spacing w:before="0" w:after="283"/>
              <w:jc w:val="right"/>
              <w:rPr/>
            </w:pPr>
            <w:r>
              <w:rPr/>
              <w:t>30,216</w:t>
            </w:r>
          </w:p>
        </w:tc>
        <w:tc>
          <w:tcPr>
            <w:tcW w:w="112" w:type="dxa"/>
            <w:tcBorders/>
            <w:shd w:fill="FFFFFF" w:val="clear"/>
            <w:vAlign w:val="center"/>
          </w:tcPr>
          <w:p>
            <w:pPr>
              <w:pStyle w:val="TableContents"/>
              <w:bidi w:val="0"/>
              <w:spacing w:before="0" w:after="283"/>
              <w:jc w:val="left"/>
              <w:rPr/>
            </w:pPr>
            <w:r>
              <w:rPr/>
              <w:t> </w:t>
            </w:r>
          </w:p>
        </w:tc>
      </w:tr>
      <w:tr>
        <w:trPr/>
        <w:tc>
          <w:tcPr>
            <w:tcW w:w="8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8155"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8155" w:type="dxa"/>
            <w:tcBorders/>
            <w:shd w:fill="CCEEFF" w:val="clear"/>
            <w:vAlign w:val="center"/>
          </w:tcPr>
          <w:p>
            <w:pPr>
              <w:pStyle w:val="TableContents"/>
              <w:bidi w:val="0"/>
              <w:spacing w:before="0" w:after="283"/>
              <w:jc w:val="left"/>
              <w:rPr/>
            </w:pPr>
            <w:r>
              <w:rPr/>
              <w:t>Payment due to settlement of contingent earnout liabilities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(127</w:t>
            </w:r>
          </w:p>
        </w:tc>
        <w:tc>
          <w:tcPr>
            <w:tcW w:w="99"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8155" w:type="dxa"/>
            <w:tcBorders/>
            <w:shd w:fill="FFFFFF" w:val="clear"/>
            <w:vAlign w:val="center"/>
          </w:tcPr>
          <w:p>
            <w:pPr>
              <w:pStyle w:val="TableContents"/>
              <w:bidi w:val="0"/>
              <w:spacing w:before="0" w:after="283"/>
              <w:jc w:val="left"/>
              <w:rPr/>
            </w:pPr>
            <w:r>
              <w:rPr/>
              <w:t>Proceeds from issuance of ordinary shares upon exercise of options</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5" w:type="dxa"/>
            <w:tcBorders>
              <w:bottom w:val="single" w:sz="12" w:space="0" w:color="000000"/>
            </w:tcBorders>
            <w:shd w:fill="FFFFFF" w:val="clear"/>
            <w:tcMar>
              <w:bottom w:w="28" w:type="dxa"/>
            </w:tcMar>
            <w:vAlign w:val="center"/>
          </w:tcPr>
          <w:p>
            <w:pPr>
              <w:pStyle w:val="TableContents"/>
              <w:bidi w:val="0"/>
              <w:spacing w:before="0" w:after="283"/>
              <w:jc w:val="right"/>
              <w:rPr/>
            </w:pPr>
            <w:r>
              <w:rPr/>
              <w:t>121</w:t>
            </w:r>
          </w:p>
        </w:tc>
        <w:tc>
          <w:tcPr>
            <w:tcW w:w="112" w:type="dxa"/>
            <w:tcBorders/>
            <w:shd w:fill="FFFFFF" w:val="clear"/>
            <w:vAlign w:val="center"/>
          </w:tcPr>
          <w:p>
            <w:pPr>
              <w:pStyle w:val="TableContents"/>
              <w:bidi w:val="0"/>
              <w:spacing w:before="0" w:after="283"/>
              <w:jc w:val="left"/>
              <w:rPr/>
            </w:pPr>
            <w:r>
              <w:rPr/>
              <w:t> </w:t>
            </w:r>
          </w:p>
        </w:tc>
      </w:tr>
      <w:tr>
        <w:trPr/>
        <w:tc>
          <w:tcPr>
            <w:tcW w:w="8155" w:type="dxa"/>
            <w:tcBorders/>
            <w:shd w:fill="CCEEFF" w:val="clear"/>
            <w:vAlign w:val="center"/>
          </w:tcPr>
          <w:p>
            <w:pPr>
              <w:pStyle w:val="TableContents"/>
              <w:bidi w:val="0"/>
              <w:spacing w:before="0" w:after="283"/>
              <w:jc w:val="left"/>
              <w:rPr/>
            </w:pPr>
            <w:r>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5" w:type="dxa"/>
            <w:tcBorders>
              <w:bottom w:val="single" w:sz="12" w:space="0" w:color="000000"/>
            </w:tcBorders>
            <w:shd w:fill="CCEEFF" w:val="clear"/>
            <w:tcMar>
              <w:bottom w:w="28" w:type="dxa"/>
            </w:tcMar>
            <w:vAlign w:val="center"/>
          </w:tcPr>
          <w:p>
            <w:pPr>
              <w:pStyle w:val="TableContents"/>
              <w:bidi w:val="0"/>
              <w:spacing w:before="0" w:after="283"/>
              <w:jc w:val="right"/>
              <w:rPr/>
            </w:pPr>
            <w:r>
              <w:rPr/>
              <w:t>(127</w:t>
            </w:r>
          </w:p>
        </w:tc>
        <w:tc>
          <w:tcPr>
            <w:tcW w:w="99"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5" w:type="dxa"/>
            <w:tcBorders>
              <w:bottom w:val="single" w:sz="12" w:space="0" w:color="000000"/>
            </w:tcBorders>
            <w:shd w:fill="CCEEFF" w:val="clear"/>
            <w:tcMar>
              <w:bottom w:w="28" w:type="dxa"/>
            </w:tcMar>
            <w:vAlign w:val="center"/>
          </w:tcPr>
          <w:p>
            <w:pPr>
              <w:pStyle w:val="TableContents"/>
              <w:bidi w:val="0"/>
              <w:spacing w:before="0" w:after="283"/>
              <w:jc w:val="right"/>
              <w:rPr/>
            </w:pPr>
            <w:r>
              <w:rPr/>
              <w:t>121</w:t>
            </w:r>
          </w:p>
        </w:tc>
        <w:tc>
          <w:tcPr>
            <w:tcW w:w="112" w:type="dxa"/>
            <w:tcBorders/>
            <w:shd w:fill="CCEEFF" w:val="clear"/>
            <w:vAlign w:val="center"/>
          </w:tcPr>
          <w:p>
            <w:pPr>
              <w:pStyle w:val="TableContents"/>
              <w:bidi w:val="0"/>
              <w:spacing w:before="0" w:after="283"/>
              <w:jc w:val="left"/>
              <w:rPr/>
            </w:pPr>
            <w:r>
              <w:rPr/>
              <w:t> </w:t>
            </w:r>
          </w:p>
        </w:tc>
      </w:tr>
      <w:tr>
        <w:trPr/>
        <w:tc>
          <w:tcPr>
            <w:tcW w:w="8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8155" w:type="dxa"/>
            <w:tcBorders/>
            <w:shd w:fill="CCEEFF" w:val="clear"/>
            <w:vAlign w:val="center"/>
          </w:tcPr>
          <w:p>
            <w:pPr>
              <w:pStyle w:val="TableContents"/>
              <w:bidi w:val="0"/>
              <w:spacing w:before="0" w:after="283"/>
              <w:jc w:val="left"/>
              <w:rPr>
                <w:b/>
              </w:rPr>
            </w:pPr>
            <w:r>
              <w:rPr>
                <w:b/>
              </w:rPr>
              <w:t>EFFECT OF CHANGES IN EXCHANGE RATES ON CASH AND CASH EQUIVALENTS</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5" w:type="dxa"/>
            <w:tcBorders>
              <w:bottom w:val="single" w:sz="12" w:space="0" w:color="000000"/>
            </w:tcBorders>
            <w:shd w:fill="CCEEFF" w:val="clear"/>
            <w:tcMar>
              <w:bottom w:w="28" w:type="dxa"/>
            </w:tcMar>
            <w:vAlign w:val="center"/>
          </w:tcPr>
          <w:p>
            <w:pPr>
              <w:pStyle w:val="TableContents"/>
              <w:bidi w:val="0"/>
              <w:spacing w:before="0" w:after="283"/>
              <w:jc w:val="right"/>
              <w:rPr/>
            </w:pPr>
            <w:r>
              <w:rPr/>
              <w:t>(243</w:t>
            </w:r>
          </w:p>
        </w:tc>
        <w:tc>
          <w:tcPr>
            <w:tcW w:w="99"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5" w:type="dxa"/>
            <w:tcBorders>
              <w:bottom w:val="single" w:sz="12" w:space="0" w:color="000000"/>
            </w:tcBorders>
            <w:shd w:fill="CCEEFF" w:val="clear"/>
            <w:tcMar>
              <w:bottom w:w="28" w:type="dxa"/>
            </w:tcMar>
            <w:vAlign w:val="center"/>
          </w:tcPr>
          <w:p>
            <w:pPr>
              <w:pStyle w:val="TableContents"/>
              <w:bidi w:val="0"/>
              <w:spacing w:before="0" w:after="283"/>
              <w:jc w:val="right"/>
              <w:rPr/>
            </w:pPr>
            <w:r>
              <w:rPr/>
              <w:t>(99</w:t>
            </w:r>
          </w:p>
        </w:tc>
        <w:tc>
          <w:tcPr>
            <w:tcW w:w="112" w:type="dxa"/>
            <w:tcBorders/>
            <w:shd w:fill="CCEEFF" w:val="clear"/>
            <w:vAlign w:val="center"/>
          </w:tcPr>
          <w:p>
            <w:pPr>
              <w:pStyle w:val="TableContents"/>
              <w:bidi w:val="0"/>
              <w:spacing w:before="0" w:after="283"/>
              <w:jc w:val="left"/>
              <w:rPr/>
            </w:pPr>
            <w:r>
              <w:rPr/>
              <w:t>)</w:t>
            </w:r>
          </w:p>
        </w:tc>
      </w:tr>
      <w:tr>
        <w:trPr/>
        <w:tc>
          <w:tcPr>
            <w:tcW w:w="8155" w:type="dxa"/>
            <w:tcBorders/>
            <w:shd w:fill="FFFFFF" w:val="clear"/>
            <w:vAlign w:val="center"/>
          </w:tcPr>
          <w:p>
            <w:pPr>
              <w:pStyle w:val="TableContents"/>
              <w:bidi w:val="0"/>
              <w:spacing w:before="0" w:after="283"/>
              <w:jc w:val="left"/>
              <w:rPr>
                <w:b/>
              </w:rPr>
            </w:pPr>
            <w:r>
              <w:rPr>
                <w:b/>
              </w:rPr>
              <w:t>NET CHANGE IN CASH AND CASH EQUIVALENTS</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5" w:type="dxa"/>
            <w:tcBorders>
              <w:bottom w:val="single" w:sz="12" w:space="0" w:color="000000"/>
            </w:tcBorders>
            <w:shd w:fill="FFFFFF" w:val="clear"/>
            <w:tcMar>
              <w:bottom w:w="28" w:type="dxa"/>
            </w:tcMar>
            <w:vAlign w:val="center"/>
          </w:tcPr>
          <w:p>
            <w:pPr>
              <w:pStyle w:val="TableContents"/>
              <w:bidi w:val="0"/>
              <w:spacing w:before="0" w:after="283"/>
              <w:jc w:val="right"/>
              <w:rPr/>
            </w:pPr>
            <w:r>
              <w:rPr/>
              <w:t>(18,128</w:t>
            </w:r>
          </w:p>
        </w:tc>
        <w:tc>
          <w:tcPr>
            <w:tcW w:w="99"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5" w:type="dxa"/>
            <w:tcBorders>
              <w:bottom w:val="single" w:sz="12" w:space="0" w:color="000000"/>
            </w:tcBorders>
            <w:shd w:fill="FFFFFF" w:val="clear"/>
            <w:tcMar>
              <w:bottom w:w="28" w:type="dxa"/>
            </w:tcMar>
            <w:vAlign w:val="center"/>
          </w:tcPr>
          <w:p>
            <w:pPr>
              <w:pStyle w:val="TableContents"/>
              <w:bidi w:val="0"/>
              <w:spacing w:before="0" w:after="283"/>
              <w:jc w:val="right"/>
              <w:rPr/>
            </w:pPr>
            <w:r>
              <w:rPr/>
              <w:t>10,600</w:t>
            </w:r>
          </w:p>
        </w:tc>
        <w:tc>
          <w:tcPr>
            <w:tcW w:w="112" w:type="dxa"/>
            <w:tcBorders/>
            <w:shd w:fill="FFFFFF" w:val="clear"/>
            <w:vAlign w:val="center"/>
          </w:tcPr>
          <w:p>
            <w:pPr>
              <w:pStyle w:val="TableContents"/>
              <w:bidi w:val="0"/>
              <w:spacing w:before="0" w:after="283"/>
              <w:jc w:val="left"/>
              <w:rPr/>
            </w:pPr>
            <w:r>
              <w:rPr/>
              <w:t> </w:t>
            </w:r>
          </w:p>
        </w:tc>
      </w:tr>
      <w:tr>
        <w:trPr/>
        <w:tc>
          <w:tcPr>
            <w:tcW w:w="8155" w:type="dxa"/>
            <w:tcBorders/>
            <w:shd w:fill="CCEEFF" w:val="clear"/>
            <w:vAlign w:val="center"/>
          </w:tcPr>
          <w:p>
            <w:pPr>
              <w:pStyle w:val="TableContents"/>
              <w:bidi w:val="0"/>
              <w:spacing w:before="0" w:after="283"/>
              <w:jc w:val="left"/>
              <w:rPr>
                <w:b/>
              </w:rPr>
            </w:pPr>
            <w:r>
              <w:rPr>
                <w:b/>
              </w:rPr>
              <w:t>CASH AND CASH EQUIVALENTS AT BEGINNING OF THE PERIOD</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5" w:type="dxa"/>
            <w:tcBorders>
              <w:bottom w:val="single" w:sz="12" w:space="0" w:color="000000"/>
            </w:tcBorders>
            <w:shd w:fill="CCEEFF" w:val="clear"/>
            <w:tcMar>
              <w:bottom w:w="28" w:type="dxa"/>
            </w:tcMar>
            <w:vAlign w:val="center"/>
          </w:tcPr>
          <w:p>
            <w:pPr>
              <w:pStyle w:val="TableContents"/>
              <w:bidi w:val="0"/>
              <w:spacing w:before="0" w:after="283"/>
              <w:jc w:val="right"/>
              <w:rPr/>
            </w:pPr>
            <w:r>
              <w:rPr/>
              <w:t>49,151</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5" w:type="dxa"/>
            <w:tcBorders>
              <w:bottom w:val="single" w:sz="12" w:space="0" w:color="000000"/>
            </w:tcBorders>
            <w:shd w:fill="CCEEFF" w:val="clear"/>
            <w:tcMar>
              <w:bottom w:w="28" w:type="dxa"/>
            </w:tcMar>
            <w:vAlign w:val="center"/>
          </w:tcPr>
          <w:p>
            <w:pPr>
              <w:pStyle w:val="TableContents"/>
              <w:bidi w:val="0"/>
              <w:spacing w:before="0" w:after="283"/>
              <w:jc w:val="right"/>
              <w:rPr/>
            </w:pPr>
            <w:r>
              <w:rPr/>
              <w:t>39,304</w:t>
            </w:r>
          </w:p>
        </w:tc>
        <w:tc>
          <w:tcPr>
            <w:tcW w:w="112" w:type="dxa"/>
            <w:tcBorders/>
            <w:shd w:fill="CCEEFF" w:val="clear"/>
            <w:vAlign w:val="center"/>
          </w:tcPr>
          <w:p>
            <w:pPr>
              <w:pStyle w:val="TableContents"/>
              <w:bidi w:val="0"/>
              <w:spacing w:before="0" w:after="283"/>
              <w:jc w:val="left"/>
              <w:rPr/>
            </w:pPr>
            <w:r>
              <w:rPr/>
              <w:t> </w:t>
            </w:r>
          </w:p>
        </w:tc>
      </w:tr>
      <w:tr>
        <w:trPr/>
        <w:tc>
          <w:tcPr>
            <w:tcW w:w="8155" w:type="dxa"/>
            <w:tcBorders/>
            <w:shd w:fill="FFFFFF" w:val="clear"/>
            <w:vAlign w:val="center"/>
          </w:tcPr>
          <w:p>
            <w:pPr>
              <w:pStyle w:val="TableContents"/>
              <w:bidi w:val="0"/>
              <w:spacing w:before="0" w:after="283"/>
              <w:jc w:val="left"/>
              <w:rPr>
                <w:b/>
              </w:rPr>
            </w:pPr>
            <w:r>
              <w:rPr>
                <w:b/>
              </w:rPr>
              <w:t>CASH AND CASH EQUIVALENTS AT END OF THE PERIOD</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95" w:type="dxa"/>
            <w:tcBorders>
              <w:bottom w:val="double" w:sz="10" w:space="0" w:color="000000"/>
            </w:tcBorders>
            <w:shd w:fill="FFFFFF" w:val="clear"/>
            <w:tcMar>
              <w:bottom w:w="28" w:type="dxa"/>
            </w:tcMar>
            <w:vAlign w:val="center"/>
          </w:tcPr>
          <w:p>
            <w:pPr>
              <w:pStyle w:val="TableContents"/>
              <w:bidi w:val="0"/>
              <w:spacing w:before="0" w:after="283"/>
              <w:jc w:val="right"/>
              <w:rPr/>
            </w:pPr>
            <w:r>
              <w:rPr/>
              <w:t>31,023</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95" w:type="dxa"/>
            <w:tcBorders>
              <w:bottom w:val="double" w:sz="10" w:space="0" w:color="000000"/>
            </w:tcBorders>
            <w:shd w:fill="FFFFFF" w:val="clear"/>
            <w:tcMar>
              <w:bottom w:w="28" w:type="dxa"/>
            </w:tcMar>
            <w:vAlign w:val="center"/>
          </w:tcPr>
          <w:p>
            <w:pPr>
              <w:pStyle w:val="TableContents"/>
              <w:bidi w:val="0"/>
              <w:spacing w:before="0" w:after="283"/>
              <w:jc w:val="right"/>
              <w:rPr/>
            </w:pPr>
            <w:r>
              <w:rPr/>
              <w:t>49,904</w:t>
            </w:r>
          </w:p>
        </w:tc>
        <w:tc>
          <w:tcPr>
            <w:tcW w:w="112" w:type="dxa"/>
            <w:tcBorders/>
            <w:shd w:fill="FFFFFF" w:val="clear"/>
            <w:vAlign w:val="center"/>
          </w:tcPr>
          <w:p>
            <w:pPr>
              <w:pStyle w:val="TableContents"/>
              <w:bidi w:val="0"/>
              <w:spacing w:before="0" w:after="283"/>
              <w:jc w:val="left"/>
              <w:rPr/>
            </w:pPr>
            <w:r>
              <w:rPr/>
              <w:t> </w:t>
            </w:r>
          </w:p>
        </w:tc>
      </w:tr>
      <w:tr>
        <w:trPr/>
        <w:tc>
          <w:tcPr>
            <w:tcW w:w="8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8155" w:type="dxa"/>
            <w:tcBorders/>
            <w:shd w:fill="FFFFFF" w:val="clear"/>
            <w:vAlign w:val="center"/>
          </w:tcPr>
          <w:p>
            <w:pPr>
              <w:pStyle w:val="TableContents"/>
              <w:bidi w:val="0"/>
              <w:spacing w:before="0" w:after="283"/>
              <w:jc w:val="left"/>
              <w:rPr>
                <w:b/>
              </w:rPr>
            </w:pPr>
            <w:r>
              <w:rPr>
                <w:b/>
              </w:rPr>
              <w:t>SUPPLEMENTARY INFORMATION ON ACTIVITIES INVOLVING CASH FLOWS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8155"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95" w:type="dxa"/>
            <w:tcBorders>
              <w:bottom w:val="double" w:sz="10" w:space="0" w:color="000000"/>
            </w:tcBorders>
            <w:shd w:fill="CCEEFF" w:val="clear"/>
            <w:tcMar>
              <w:bottom w:w="28" w:type="dxa"/>
            </w:tcMar>
            <w:vAlign w:val="center"/>
          </w:tcPr>
          <w:p>
            <w:pPr>
              <w:pStyle w:val="TableContents"/>
              <w:bidi w:val="0"/>
              <w:spacing w:before="0" w:after="283"/>
              <w:jc w:val="right"/>
              <w:rPr/>
            </w:pPr>
            <w:r>
              <w:rPr/>
              <w:t>63</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95" w:type="dxa"/>
            <w:tcBorders>
              <w:bottom w:val="double" w:sz="10" w:space="0" w:color="000000"/>
            </w:tcBorders>
            <w:shd w:fill="CCEEFF" w:val="clear"/>
            <w:tcMar>
              <w:bottom w:w="28" w:type="dxa"/>
            </w:tcMar>
            <w:vAlign w:val="center"/>
          </w:tcPr>
          <w:p>
            <w:pPr>
              <w:pStyle w:val="TableContents"/>
              <w:bidi w:val="0"/>
              <w:spacing w:before="0" w:after="283"/>
              <w:jc w:val="right"/>
              <w:rPr/>
            </w:pPr>
            <w:r>
              <w:rPr/>
              <w:t>68</w:t>
            </w:r>
          </w:p>
        </w:tc>
        <w:tc>
          <w:tcPr>
            <w:tcW w:w="112" w:type="dxa"/>
            <w:tcBorders/>
            <w:shd w:fill="CCEEFF" w:val="clear"/>
            <w:vAlign w:val="center"/>
          </w:tcPr>
          <w:p>
            <w:pPr>
              <w:pStyle w:val="TableContents"/>
              <w:bidi w:val="0"/>
              <w:spacing w:before="0" w:after="283"/>
              <w:jc w:val="left"/>
              <w:rPr/>
            </w:pPr>
            <w:r>
              <w:rPr/>
              <w:t> </w:t>
            </w:r>
          </w:p>
        </w:tc>
      </w:tr>
      <w:tr>
        <w:trPr/>
        <w:tc>
          <w:tcPr>
            <w:tcW w:w="8155" w:type="dxa"/>
            <w:tcBorders/>
            <w:shd w:fill="FFFFFF" w:val="clear"/>
            <w:vAlign w:val="center"/>
          </w:tcPr>
          <w:p>
            <w:pPr>
              <w:pStyle w:val="TableContents"/>
              <w:bidi w:val="0"/>
              <w:spacing w:before="0" w:after="283"/>
              <w:jc w:val="left"/>
              <w:rPr/>
            </w:pPr>
            <w:r>
              <w:rPr/>
              <w:t>Cash paid for income taxes</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95" w:type="dxa"/>
            <w:tcBorders>
              <w:bottom w:val="double" w:sz="10" w:space="0" w:color="000000"/>
            </w:tcBorders>
            <w:shd w:fill="FFFFFF" w:val="clear"/>
            <w:tcMar>
              <w:bottom w:w="28" w:type="dxa"/>
            </w:tcMar>
            <w:vAlign w:val="center"/>
          </w:tcPr>
          <w:p>
            <w:pPr>
              <w:pStyle w:val="TableContents"/>
              <w:bidi w:val="0"/>
              <w:spacing w:before="0" w:after="283"/>
              <w:jc w:val="right"/>
              <w:rPr/>
            </w:pPr>
            <w:r>
              <w:rPr/>
              <w:t>170</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95" w:type="dxa"/>
            <w:tcBorders>
              <w:bottom w:val="double" w:sz="10" w:space="0" w:color="000000"/>
            </w:tcBorders>
            <w:shd w:fill="FFFFFF" w:val="clear"/>
            <w:tcMar>
              <w:bottom w:w="28" w:type="dxa"/>
            </w:tcMar>
            <w:vAlign w:val="center"/>
          </w:tcPr>
          <w:p>
            <w:pPr>
              <w:pStyle w:val="TableContents"/>
              <w:bidi w:val="0"/>
              <w:spacing w:before="0" w:after="283"/>
              <w:jc w:val="right"/>
              <w:rPr/>
            </w:pPr>
            <w:r>
              <w:rPr/>
              <w:t>184</w:t>
            </w:r>
          </w:p>
        </w:tc>
        <w:tc>
          <w:tcPr>
            <w:tcW w:w="112" w:type="dxa"/>
            <w:tcBorders/>
            <w:shd w:fill="FFFFFF" w:val="clear"/>
            <w:vAlign w:val="center"/>
          </w:tcPr>
          <w:p>
            <w:pPr>
              <w:pStyle w:val="TableContents"/>
              <w:bidi w:val="0"/>
              <w:spacing w:before="0" w:after="283"/>
              <w:jc w:val="left"/>
              <w:rPr/>
            </w:pPr>
            <w:r>
              <w:rPr/>
              <w:t> </w:t>
            </w:r>
          </w:p>
        </w:tc>
      </w:tr>
      <w:tr>
        <w:trPr/>
        <w:tc>
          <w:tcPr>
            <w:tcW w:w="8155" w:type="dxa"/>
            <w:tcBorders/>
            <w:shd w:fill="CCEEFF" w:val="clear"/>
            <w:vAlign w:val="center"/>
          </w:tcPr>
          <w:p>
            <w:pPr>
              <w:pStyle w:val="TableContents"/>
              <w:bidi w:val="0"/>
              <w:spacing w:before="0" w:after="283"/>
              <w:jc w:val="left"/>
              <w:rPr>
                <w:b/>
              </w:rPr>
            </w:pPr>
            <w:r>
              <w:rPr>
                <w:b/>
              </w:rPr>
              <w:t>SUPPLEMENTARY INFORMATION ON ACTIVITIES NOT INVOLVING CASH FLOWS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8155" w:type="dxa"/>
            <w:tcBorders/>
            <w:shd w:fill="FFFFFF" w:val="clear"/>
            <w:vAlign w:val="center"/>
          </w:tcPr>
          <w:p>
            <w:pPr>
              <w:pStyle w:val="TableContents"/>
              <w:bidi w:val="0"/>
              <w:spacing w:before="0" w:after="283"/>
              <w:jc w:val="left"/>
              <w:rPr/>
            </w:pPr>
            <w:r>
              <w:rPr/>
              <w:t>Non-cash purchase of property and equipment</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95" w:type="dxa"/>
            <w:tcBorders>
              <w:bottom w:val="double" w:sz="10" w:space="0" w:color="000000"/>
            </w:tcBorders>
            <w:shd w:fill="FFFFFF" w:val="clear"/>
            <w:tcMar>
              <w:bottom w:w="28" w:type="dxa"/>
            </w:tcMar>
            <w:vAlign w:val="center"/>
          </w:tcPr>
          <w:p>
            <w:pPr>
              <w:pStyle w:val="TableContents"/>
              <w:bidi w:val="0"/>
              <w:spacing w:before="0" w:after="283"/>
              <w:jc w:val="right"/>
              <w:rPr/>
            </w:pPr>
            <w:r>
              <w:rPr/>
              <w:t>374</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95" w:type="dxa"/>
            <w:tcBorders>
              <w:bottom w:val="double" w:sz="10" w:space="0" w:color="000000"/>
            </w:tcBorders>
            <w:shd w:fill="FFFFFF" w:val="clear"/>
            <w:tcMar>
              <w:bottom w:w="28" w:type="dxa"/>
            </w:tcMar>
            <w:vAlign w:val="center"/>
          </w:tcPr>
          <w:p>
            <w:pPr>
              <w:pStyle w:val="TableContents"/>
              <w:bidi w:val="0"/>
              <w:spacing w:before="0" w:after="283"/>
              <w:jc w:val="right"/>
              <w:rPr/>
            </w:pPr>
            <w:r>
              <w:rPr/>
              <w:t>398</w:t>
            </w:r>
          </w:p>
        </w:tc>
        <w:tc>
          <w:tcPr>
            <w:tcW w:w="112" w:type="dxa"/>
            <w:tcBorders/>
            <w:shd w:fill="FFFFFF" w:val="clear"/>
            <w:vAlign w:val="center"/>
          </w:tcPr>
          <w:p>
            <w:pPr>
              <w:pStyle w:val="TableContents"/>
              <w:bidi w:val="0"/>
              <w:spacing w:before="0" w:after="283"/>
              <w:jc w:val="left"/>
              <w:rPr/>
            </w:pPr>
            <w:r>
              <w:rPr/>
              <w:t> </w:t>
            </w:r>
          </w:p>
        </w:tc>
      </w:tr>
      <w:tr>
        <w:trPr/>
        <w:tc>
          <w:tcPr>
            <w:tcW w:w="8155" w:type="dxa"/>
            <w:tcBorders/>
            <w:shd w:fill="CCEEFF" w:val="clear"/>
            <w:vAlign w:val="center"/>
          </w:tcPr>
          <w:p>
            <w:pPr>
              <w:pStyle w:val="TableContents"/>
              <w:bidi w:val="0"/>
              <w:spacing w:before="0" w:after="283"/>
              <w:jc w:val="left"/>
              <w:rPr/>
            </w:pPr>
            <w:r>
              <w:rPr/>
              <w:t>Issuance of ordinary shares per settlement with a shareholder</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95" w:type="dxa"/>
            <w:tcBorders>
              <w:bottom w:val="double" w:sz="10" w:space="0" w:color="000000"/>
            </w:tcBorders>
            <w:shd w:fill="CCEEFF" w:val="clear"/>
            <w:tcMar>
              <w:bottom w:w="28" w:type="dxa"/>
            </w:tcMar>
            <w:vAlign w:val="center"/>
          </w:tcPr>
          <w:p>
            <w:pPr>
              <w:pStyle w:val="TableContents"/>
              <w:bidi w:val="0"/>
              <w:spacing w:before="0" w:after="283"/>
              <w:jc w:val="right"/>
              <w:rPr/>
            </w:pPr>
            <w:r>
              <w:rPr/>
              <w:t>778</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9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8155" w:type="dxa"/>
            <w:tcBorders/>
            <w:shd w:fill="FFFFFF" w:val="clear"/>
            <w:vAlign w:val="center"/>
          </w:tcPr>
          <w:p>
            <w:pPr>
              <w:pStyle w:val="TableContents"/>
              <w:bidi w:val="0"/>
              <w:spacing w:before="0" w:after="283"/>
              <w:jc w:val="left"/>
              <w:rPr/>
            </w:pPr>
            <w:r>
              <w:rPr/>
              <w:t>Operating lease liabilities arising from obtaining operating right-of use assets</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95" w:type="dxa"/>
            <w:tcBorders>
              <w:bottom w:val="double" w:sz="10" w:space="0" w:color="000000"/>
            </w:tcBorders>
            <w:shd w:fill="FFFFFF" w:val="clear"/>
            <w:tcMar>
              <w:bottom w:w="28" w:type="dxa"/>
            </w:tcMar>
            <w:vAlign w:val="center"/>
          </w:tcPr>
          <w:p>
            <w:pPr>
              <w:pStyle w:val="TableContents"/>
              <w:bidi w:val="0"/>
              <w:spacing w:before="0" w:after="283"/>
              <w:jc w:val="right"/>
              <w:rPr/>
            </w:pPr>
            <w:r>
              <w:rPr/>
              <w:t>38</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95" w:type="dxa"/>
            <w:tcBorders>
              <w:bottom w:val="double" w:sz="10" w:space="0" w:color="000000"/>
            </w:tcBorders>
            <w:shd w:fill="FFFFFF" w:val="clear"/>
            <w:tcMar>
              <w:bottom w:w="28" w:type="dxa"/>
            </w:tcMar>
            <w:vAlign w:val="center"/>
          </w:tcPr>
          <w:p>
            <w:pPr>
              <w:pStyle w:val="TableContents"/>
              <w:bidi w:val="0"/>
              <w:spacing w:before="0" w:after="283"/>
              <w:jc w:val="right"/>
              <w:rPr/>
            </w:pPr>
            <w:r>
              <w:rPr/>
              <w:t>93</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IMAGING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 – ORGANIZATION AND DESCRIPTION OF BUSINESS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b/>
              </w:rPr>
            </w:pPr>
            <w:r>
              <w:rPr>
                <w:b/>
              </w:rPr>
              <w:t>a.</w:t>
            </w:r>
          </w:p>
        </w:tc>
        <w:tc>
          <w:tcPr>
            <w:tcW w:w="993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Nano-X Imaging Ltd., an Israeli company (hereinafter the “Company” or “Nanox IL”), was incorporated on December 20, 2018 and commenced its operations on September 3, 2019. The Company, together with its subsidiaries, develops a commercial-grade tomographic imaging device with a digital X-ray source, provides teleradiology services and develops artificial intelligence applications designed to be used in real-world medical imaging applications. The Company’s solution, referred to as the Nanox Multi Source System, has two integrated components – “Nanox.ARC” and “Nanox.CLOUD”. Nanox.ARC is a medical tomographic imaging system incorporating the Company’s novel digital X-ray source. Nanox.CLOUD is a platform which employs a matching engine to match medical images to radiologists, provides image repository, connectivity to diagnostic assistive AI systems, billing and reporting. On April 1, 2021, the Company received clearance from the FDA to market the Company’s Nanox Cart X-Ray System. On April 28, 2023, the Company received clearance from the FDA to market the Company’s multi-source Nanox.ARC system.</w:t>
            </w:r>
          </w:p>
          <w:p>
            <w:pPr>
              <w:pStyle w:val="TableContents"/>
              <w:bidi w:val="0"/>
              <w:spacing w:before="0" w:after="0"/>
              <w:ind w:left="36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4, 2024, the Company received clearance from the FDA to market the Nanox.ARC (including the Nanox.CLOUD) as a stationary X-ray system intended to produce tomographic images for general use including human musculoskeletal system, pulmonary, intra-abdominal, and paranasal sinus indications, adjunctive to conventional radiography, on adult patients. This device is intended to be used in professional healthcare facilities or radiological environments, such as hospitals, clinics, imaging centers and other medical practices by trained radiographers, radiologists and physicists.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25, 2025, the Company received its CE (Conformité Européenne) mark certification to market the multi-source Nanox.ARC system, including the Nanox.CLOUD, its accompanying cloud-based infrastructure in Europe.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2025, the Company received clearance from the FDA to market the Nanox.ARC-X (including the Nanox.CLOUD) as a stationary X-ray system intended to produce tomographic images for general use including human musculoskeletal system, pulmonary, intra-abdominal, and paranasal sinus indications, adjunctive to conventional radiography, on adult patients. This device is an enhanced imaging system with features sleek design with smaller footprint and simplified ‘plug and play’ installation process which is intended to be used in professional healthcare facilities or radiological environments, such as hospitals, clinics, imaging centers and other medical practices by trained radiographers, radiologists and physicists.</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experienced net losses and negative cash flows from operations since its inception. The Company anticipates such losses will continue until its product candidates reach commercial profitability.</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Since incorporation through June 30, 2026, the Company has an accumulated deficit of $519 and its activities have been funded mainly by the sale of its ordinary shares and positive cash flow from the Teleradiology business segment. The Company expects to continue to incur significant costs related to its ongoing operations. Management expects that the Company’s cash and cash equivalents, and deposits as of June 30, 2026 are not sufficient to support the Company’s operations under its current operating plans for at least one year from the issuance date of these financial statements. These factors raise substantial doubt as to the Company’s ability to continue as a going concern.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continuing in the process of fund raising in the private equity and capital markets as the Company will need to finance future activities. However, there is no assurance that the Company will be able to obtain such funding. In addition, the Company is exploring the use of mitigating actions such as postponing expenses that are not based on firm commitments. These consolidated financial statements do not include any adjustments that may be necessary should the Company be unable to continue as a going concern.</w:t>
      </w:r>
    </w:p>
    <w:p>
      <w:pPr>
        <w:pStyle w:val="TextBody"/>
        <w:bidi w:val="0"/>
        <w:spacing w:before="0" w:after="0"/>
        <w:ind w:left="1080" w:right="0" w:hanging="0"/>
        <w:jc w:val="both"/>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75"/>
        <w:gridCol w:w="215"/>
        <w:gridCol w:w="323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b/>
              </w:rPr>
            </w:pPr>
            <w:r>
              <w:rPr>
                <w:b/>
              </w:rPr>
              <w:t>b.</w:t>
            </w:r>
          </w:p>
        </w:tc>
        <w:tc>
          <w:tcPr>
            <w:tcW w:w="3230" w:type="dxa"/>
            <w:tcBorders/>
            <w:vAlign w:val="center"/>
          </w:tcPr>
          <w:p>
            <w:pPr>
              <w:pStyle w:val="TableContents"/>
              <w:bidi w:val="0"/>
              <w:spacing w:before="0" w:after="283"/>
              <w:jc w:val="both"/>
              <w:rPr>
                <w:b/>
              </w:rPr>
            </w:pPr>
            <w:r>
              <w:rPr>
                <w:b/>
              </w:rPr>
              <w:t>Economic and geopolitical risks</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Israel and global economies and markets are experiencing volatility and disruption following the escalation of geopolitical tensions. As a result of the military conflict between Russia and Ukraine, sanctions and penalties have been levied by the United States, European Union and other countries against Russia. Russian military actions and the resulting sanctions could have a negative impact on supply chains, the Company’s MSaaS agreements relating to Russia and Belarus or the region and adversely affect the global economy and financial markets.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IMAGING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CONDENSED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monitors changes in tariffs, including recently imposed tariffs by the U.S. government and the effects of retaliatory tariffs and countermeasures from affected countries.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length and impact of the ongoing military conflicts and tariffs are highly unpredictable, they could lead to market disruptions, including significant volatility in commodity prices, credit and capital markets. Any of the abovementioned factors could affect the Company’s business, prospects, financial condition, and operating results. The extent and duration of the military actions, sanctions and resulting market disruptions are impossible to predict, but could be substantial.</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2026, the impact of this war on the Company’s results of operations and financial condition was immaterial, but such impact may increase, which could be material, as a result of the continuation, escalation, or expansion of such war.</w:t>
      </w:r>
    </w:p>
    <w:p>
      <w:pPr>
        <w:pStyle w:val="TextBody"/>
        <w:bidi w:val="0"/>
        <w:spacing w:before="0" w:after="0"/>
        <w:ind w:left="0" w:right="0" w:hanging="0"/>
        <w:jc w:val="center"/>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75"/>
        <w:gridCol w:w="185"/>
        <w:gridCol w:w="311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b/>
              </w:rPr>
            </w:pPr>
            <w:r>
              <w:rPr>
                <w:b/>
              </w:rPr>
              <w:t>c.</w:t>
            </w:r>
          </w:p>
        </w:tc>
        <w:tc>
          <w:tcPr>
            <w:tcW w:w="3110" w:type="dxa"/>
            <w:tcBorders/>
            <w:vAlign w:val="center"/>
          </w:tcPr>
          <w:p>
            <w:pPr>
              <w:pStyle w:val="TableContents"/>
              <w:bidi w:val="0"/>
              <w:spacing w:before="0" w:after="283"/>
              <w:jc w:val="both"/>
              <w:rPr>
                <w:b/>
              </w:rPr>
            </w:pPr>
            <w:r>
              <w:rPr>
                <w:b/>
              </w:rPr>
              <w:t>The security situation in Israel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Israel was attacked by Hamas, a terrorist organization and entered a state of war. Since the commencement of these events, there have been additional active hostilities, including with Hezbollah in Lebanon, the Houthi movement which controls parts of Yemen, and with Iran. In October 2025, the Israeli-Hamas war concluded pursuant to a ceasefire that has mostly been upheld by the sides since that time.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2026, Israel and the United States initiated a preemptive attack on Iran to which Iran responded with ballistic missile and drone attacks. On April 8, 2026 a ceasefire between the parties was declared. To date, there has been no material adverse impact on the Company’s operations and financial conditions due to this war. The Company continues to monitor political and military developments closely and examine the consequences for its operations and assets.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headquarters, its R&amp;D operations, and certain manufacturing and assembly facilities are located in Israel.</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such activities in Israel remain largely unaffected. As of June 30, 2026, the impact of this war on the Company’s results of operations and financial condition was immaterial.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 AND 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consolidated financial statements include the accounts of the Company and its subsidiaries, prepared in accordance with accounting principles generally accepted in the United States of America (“GAAP”) and pursuant to the rules and regulations of the Securities and Exchange Commission (“SEC”) for interim financial statements. Accordingly, they do not contain all information and notes required by U.S. GAAP for annual financial statements. In the opinion of management, these unaudited condensed consolidated financial statements reflect all adjustments, which include normal recurring adjustments, necessary for a fair statement of the Company’s condensed consolidated financial position as of June 30, 2026, the condensed consolidated statements of operations and comprehensive loss for the three and six months ended June 30, 2026 and 2025 and the condensed consolidated statements of cash flows and the condensed consolidated statements of equity for the six months ended June 30, 2026 and 2025</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significant accounting policies adopted and used in the preparation of the financial statements are consistent with those of the previous financial year, except income taxes. The preparation of financial statements in conformity with GAAP requires the Company to make certain estimates and assumptions for the reporting periods covered by the financial statements. These estimates and assumptions affect the reported amounts of assets, liabilities, revenues, and expenses. Actual amounts could differ from these estimates.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should be read in conjunction with the consolidated financial statements and notes thereto included in the Company’s Annual Report on Form 20-F for the fiscal year ended December 31, 2025, filed with the SEC on April 30, 2026 (the “Annual Report”). For further information, reference is made to the consolidated financial statements and footnotes thereto included in the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Fair Value measurement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based on the price that would be received from the sale of an asset or that would be paid to transfer a liability in an orderly transaction between market participants at the measurement date. In order to increase consistency and comparability in fair value measurements, the guidance establishes a fair value hierarchy that prioritizes observable and unobservable inputs used to measure fair value into three broad levels, which are described as follows:</w:t>
      </w:r>
    </w:p>
    <w:p>
      <w:pPr>
        <w:pStyle w:val="TextBody"/>
        <w:bidi w:val="0"/>
        <w:spacing w:before="0" w:after="0"/>
        <w:ind w:left="1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715"/>
        <w:gridCol w:w="9415"/>
      </w:tblGrid>
      <w:tr>
        <w:trPr/>
        <w:tc>
          <w:tcPr>
            <w:tcW w:w="75"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both"/>
              <w:rPr/>
            </w:pPr>
            <w:r>
              <w:rPr/>
              <w:t>Level 1:</w:t>
            </w:r>
          </w:p>
        </w:tc>
        <w:tc>
          <w:tcPr>
            <w:tcW w:w="9415" w:type="dxa"/>
            <w:tcBorders/>
            <w:vAlign w:val="center"/>
          </w:tcPr>
          <w:p>
            <w:pPr>
              <w:pStyle w:val="TableContents"/>
              <w:bidi w:val="0"/>
              <w:spacing w:before="0" w:after="283"/>
              <w:jc w:val="both"/>
              <w:rPr/>
            </w:pPr>
            <w:r>
              <w:rPr/>
              <w:t>Quoted prices (unadjusted) in active markets that are accessible at the measurement date for assets or liabilities. The fair value hierarchy gives the highest priority to Level 1 inputs.</w:t>
            </w:r>
          </w:p>
        </w:tc>
      </w:tr>
      <w:tr>
        <w:trPr/>
        <w:tc>
          <w:tcPr>
            <w:tcW w:w="75"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both"/>
              <w:rPr/>
            </w:pPr>
            <w:r>
              <w:rPr/>
              <w:t> </w:t>
            </w:r>
          </w:p>
        </w:tc>
        <w:tc>
          <w:tcPr>
            <w:tcW w:w="94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both"/>
              <w:rPr/>
            </w:pPr>
            <w:r>
              <w:rPr/>
              <w:t xml:space="preserve">Level 2: </w:t>
            </w:r>
          </w:p>
        </w:tc>
        <w:tc>
          <w:tcPr>
            <w:tcW w:w="9415" w:type="dxa"/>
            <w:tcBorders/>
            <w:vAlign w:val="center"/>
          </w:tcPr>
          <w:p>
            <w:pPr>
              <w:pStyle w:val="TableContents"/>
              <w:bidi w:val="0"/>
              <w:spacing w:before="0" w:after="283"/>
              <w:jc w:val="both"/>
              <w:rPr/>
            </w:pPr>
            <w:r>
              <w:rPr/>
              <w:t>Observable prices that are based on inputs not quoted on active markets, but corroborated by market data.</w:t>
            </w:r>
          </w:p>
        </w:tc>
      </w:tr>
      <w:tr>
        <w:trPr/>
        <w:tc>
          <w:tcPr>
            <w:tcW w:w="75"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both"/>
              <w:rPr/>
            </w:pPr>
            <w:r>
              <w:rPr/>
              <w:t> </w:t>
            </w:r>
          </w:p>
        </w:tc>
        <w:tc>
          <w:tcPr>
            <w:tcW w:w="94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both"/>
              <w:rPr/>
            </w:pPr>
            <w:r>
              <w:rPr/>
              <w:t xml:space="preserve">Level 3: </w:t>
            </w:r>
          </w:p>
        </w:tc>
        <w:tc>
          <w:tcPr>
            <w:tcW w:w="9415" w:type="dxa"/>
            <w:tcBorders/>
            <w:vAlign w:val="center"/>
          </w:tcPr>
          <w:p>
            <w:pPr>
              <w:pStyle w:val="TableContents"/>
              <w:bidi w:val="0"/>
              <w:spacing w:before="0" w:after="283"/>
              <w:jc w:val="both"/>
              <w:rPr/>
            </w:pPr>
            <w:r>
              <w:rPr/>
              <w:t>Unobservable inputs are used when little or no market data is available. The fair value hierarchy gives the lowest priority to Level 3 inputs.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IMAGING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CONDENSED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fair value, the Company utilizes valuation techniques that maximize the use of observable inputs and minimize the use of unobservable inputs to the extent possible and considers counterparty credit risk in its assessment of fair value.</w:t>
      </w:r>
    </w:p>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consist mainly of cash and cash equivalents, short and long-term deposits, restricted deposit, accounts receivable, accounts payable, accrued expenses and other liabilities. The fair value of these financial instruments approximates their carrying value.</w:t>
      </w:r>
    </w:p>
    <w:p>
      <w:pPr>
        <w:pStyle w:val="TextBody"/>
        <w:bidi w:val="0"/>
        <w:spacing w:before="0" w:after="0"/>
        <w:ind w:left="0" w:right="0" w:hanging="0"/>
        <w:jc w:val="center"/>
        <w:rPr>
          <w:caps w:val="false"/>
          <w:smallCaps w:val="false"/>
        </w:rPr>
      </w:pPr>
      <w:r>
        <w:rPr>
          <w:caps w:val="false"/>
          <w:smallCaps w:val="false"/>
        </w:rPr>
        <w:t> </w:t>
      </w:r>
    </w:p>
    <w:tbl>
      <w:tblPr>
        <w:tblW w:w="7500" w:type="dxa"/>
        <w:jc w:val="left"/>
        <w:tblInd w:w="0" w:type="dxa"/>
        <w:tblLayout w:type="fixed"/>
        <w:tblCellMar>
          <w:top w:w="0" w:type="dxa"/>
          <w:left w:w="0" w:type="dxa"/>
          <w:bottom w:w="0" w:type="dxa"/>
          <w:right w:w="0" w:type="dxa"/>
        </w:tblCellMar>
      </w:tblPr>
      <w:tblGrid>
        <w:gridCol w:w="4085"/>
        <w:gridCol w:w="60"/>
        <w:gridCol w:w="86"/>
        <w:gridCol w:w="668"/>
        <w:gridCol w:w="62"/>
        <w:gridCol w:w="62"/>
        <w:gridCol w:w="78"/>
        <w:gridCol w:w="676"/>
        <w:gridCol w:w="62"/>
        <w:gridCol w:w="62"/>
        <w:gridCol w:w="72"/>
        <w:gridCol w:w="682"/>
        <w:gridCol w:w="62"/>
        <w:gridCol w:w="62"/>
        <w:gridCol w:w="62"/>
        <w:gridCol w:w="584"/>
        <w:gridCol w:w="75"/>
      </w:tblGrid>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Balance as of June 30, 2026</w:t>
            </w:r>
          </w:p>
        </w:tc>
        <w:tc>
          <w:tcPr>
            <w:tcW w:w="75"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Liabilities:</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46"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pPr>
            <w:r>
              <w:rPr/>
              <w:t>Short-term loan</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      </w:t>
            </w: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676" w:type="dxa"/>
            <w:tcBorders/>
            <w:shd w:fill="CCEEFF" w:val="clear"/>
            <w:vAlign w:val="center"/>
          </w:tcPr>
          <w:p>
            <w:pPr>
              <w:pStyle w:val="TableContents"/>
              <w:bidi w:val="0"/>
              <w:spacing w:before="0" w:after="283"/>
              <w:jc w:val="right"/>
              <w:rPr/>
            </w:pPr>
            <w:r>
              <w:rPr/>
              <w:t>       </w:t>
            </w: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2,919</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4" w:type="dxa"/>
            <w:tcBorders/>
            <w:shd w:fill="CCEEFF" w:val="clear"/>
            <w:vAlign w:val="center"/>
          </w:tcPr>
          <w:p>
            <w:pPr>
              <w:pStyle w:val="TableContents"/>
              <w:bidi w:val="0"/>
              <w:spacing w:before="0" w:after="283"/>
              <w:jc w:val="right"/>
              <w:rPr/>
            </w:pPr>
            <w:r>
              <w:rPr/>
              <w:t>2,919</w:t>
            </w:r>
          </w:p>
        </w:tc>
        <w:tc>
          <w:tcPr>
            <w:tcW w:w="75" w:type="dxa"/>
            <w:tcBorders/>
            <w:shd w:fill="CCEEFF" w:val="clear"/>
            <w:vAlign w:val="center"/>
          </w:tcPr>
          <w:p>
            <w:pPr>
              <w:pStyle w:val="TableContents"/>
              <w:bidi w:val="0"/>
              <w:spacing w:before="0" w:after="283"/>
              <w:jc w:val="left"/>
              <w:rPr/>
            </w:pPr>
            <w:r>
              <w:rPr/>
              <w:t> </w:t>
            </w:r>
          </w:p>
        </w:tc>
      </w:tr>
      <w:tr>
        <w:trPr/>
        <w:tc>
          <w:tcPr>
            <w:tcW w:w="4085" w:type="dxa"/>
            <w:tcBorders/>
            <w:shd w:fill="FFFFFF" w:val="clear"/>
            <w:vAlign w:val="center"/>
          </w:tcPr>
          <w:p>
            <w:pPr>
              <w:pStyle w:val="TableContents"/>
              <w:bidi w:val="0"/>
              <w:spacing w:before="0" w:after="283"/>
              <w:jc w:val="left"/>
              <w:rPr/>
            </w:pPr>
            <w:r>
              <w:rPr/>
              <w:t>Contingent short-term earnout liability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293</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pPr>
            <w:r>
              <w:rPr/>
              <w:t>293</w:t>
            </w:r>
          </w:p>
        </w:tc>
        <w:tc>
          <w:tcPr>
            <w:tcW w:w="75" w:type="dxa"/>
            <w:tcBorders/>
            <w:shd w:fill="FFFFFF" w:val="clear"/>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pPr>
            <w:r>
              <w:rPr/>
              <w:t>Contingent long-term earnout liability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2" w:type="dxa"/>
            <w:tcBorders>
              <w:bottom w:val="single" w:sz="12" w:space="0" w:color="000000"/>
            </w:tcBorders>
            <w:shd w:fill="CCEEFF" w:val="clear"/>
            <w:tcMar>
              <w:bottom w:w="28" w:type="dxa"/>
            </w:tcMar>
            <w:vAlign w:val="center"/>
          </w:tcPr>
          <w:p>
            <w:pPr>
              <w:pStyle w:val="TableContents"/>
              <w:bidi w:val="0"/>
              <w:spacing w:before="0" w:after="283"/>
              <w:jc w:val="right"/>
              <w:rPr/>
            </w:pPr>
            <w:r>
              <w:rPr/>
              <w:t>84</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84" w:type="dxa"/>
            <w:tcBorders>
              <w:bottom w:val="single" w:sz="12" w:space="0" w:color="000000"/>
            </w:tcBorders>
            <w:shd w:fill="CCEEFF" w:val="clear"/>
            <w:tcMar>
              <w:bottom w:w="28" w:type="dxa"/>
            </w:tcMar>
            <w:vAlign w:val="center"/>
          </w:tcPr>
          <w:p>
            <w:pPr>
              <w:pStyle w:val="TableContents"/>
              <w:bidi w:val="0"/>
              <w:spacing w:before="0" w:after="283"/>
              <w:jc w:val="right"/>
              <w:rPr/>
            </w:pPr>
            <w:r>
              <w:rPr/>
              <w:t>84</w:t>
            </w:r>
          </w:p>
        </w:tc>
        <w:tc>
          <w:tcPr>
            <w:tcW w:w="75" w:type="dxa"/>
            <w:tcBorders/>
            <w:shd w:fill="CCEEFF" w:val="clear"/>
            <w:vAlign w:val="center"/>
          </w:tcPr>
          <w:p>
            <w:pPr>
              <w:pStyle w:val="TableContents"/>
              <w:bidi w:val="0"/>
              <w:spacing w:before="0" w:after="283"/>
              <w:jc w:val="left"/>
              <w:rPr/>
            </w:pPr>
            <w:r>
              <w:rPr/>
              <w:t> </w:t>
            </w:r>
          </w:p>
        </w:tc>
      </w:tr>
      <w:tr>
        <w:trPr/>
        <w:tc>
          <w:tcPr>
            <w:tcW w:w="4085"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8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76"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2" w:type="dxa"/>
            <w:tcBorders>
              <w:bottom w:val="double" w:sz="10" w:space="0" w:color="000000"/>
            </w:tcBorders>
            <w:shd w:fill="FFFFFF" w:val="clear"/>
            <w:tcMar>
              <w:bottom w:w="28" w:type="dxa"/>
            </w:tcMar>
            <w:vAlign w:val="center"/>
          </w:tcPr>
          <w:p>
            <w:pPr>
              <w:pStyle w:val="TableContents"/>
              <w:bidi w:val="0"/>
              <w:spacing w:before="0" w:after="283"/>
              <w:jc w:val="right"/>
              <w:rPr/>
            </w:pPr>
            <w:r>
              <w:rPr/>
              <w:t>3,296</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84" w:type="dxa"/>
            <w:tcBorders>
              <w:bottom w:val="double" w:sz="10" w:space="0" w:color="000000"/>
            </w:tcBorders>
            <w:shd w:fill="FFFFFF" w:val="clear"/>
            <w:tcMar>
              <w:bottom w:w="28" w:type="dxa"/>
            </w:tcMar>
            <w:vAlign w:val="center"/>
          </w:tcPr>
          <w:p>
            <w:pPr>
              <w:pStyle w:val="TableContents"/>
              <w:bidi w:val="0"/>
              <w:spacing w:before="0" w:after="283"/>
              <w:jc w:val="right"/>
              <w:rPr/>
            </w:pPr>
            <w:r>
              <w:rPr/>
              <w:t>3,296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7786" w:type="dxa"/>
        <w:jc w:val="left"/>
        <w:tblInd w:w="0" w:type="dxa"/>
        <w:tblLayout w:type="fixed"/>
        <w:tblCellMar>
          <w:top w:w="0" w:type="dxa"/>
          <w:left w:w="0" w:type="dxa"/>
          <w:bottom w:w="0" w:type="dxa"/>
          <w:right w:w="0" w:type="dxa"/>
        </w:tblCellMar>
      </w:tblPr>
      <w:tblGrid>
        <w:gridCol w:w="4085"/>
        <w:gridCol w:w="60"/>
        <w:gridCol w:w="73"/>
        <w:gridCol w:w="700"/>
        <w:gridCol w:w="73"/>
        <w:gridCol w:w="73"/>
        <w:gridCol w:w="102"/>
        <w:gridCol w:w="652"/>
        <w:gridCol w:w="73"/>
        <w:gridCol w:w="73"/>
        <w:gridCol w:w="73"/>
        <w:gridCol w:w="773"/>
        <w:gridCol w:w="73"/>
        <w:gridCol w:w="73"/>
        <w:gridCol w:w="73"/>
        <w:gridCol w:w="682"/>
        <w:gridCol w:w="75"/>
      </w:tblGrid>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66"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Balance as of December 31, 2025</w:t>
            </w:r>
          </w:p>
        </w:tc>
        <w:tc>
          <w:tcPr>
            <w:tcW w:w="75"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Assets:</w:t>
            </w:r>
          </w:p>
        </w:tc>
        <w:tc>
          <w:tcPr>
            <w:tcW w:w="60" w:type="dxa"/>
            <w:tcBorders/>
            <w:vAlign w:val="center"/>
          </w:tcPr>
          <w:p>
            <w:pPr>
              <w:pStyle w:val="TableContents"/>
              <w:bidi w:val="0"/>
              <w:spacing w:before="0" w:after="283"/>
              <w:jc w:val="left"/>
              <w:rPr/>
            </w:pPr>
            <w:r>
              <w:rPr/>
              <w:t> </w:t>
            </w:r>
          </w:p>
        </w:tc>
        <w:tc>
          <w:tcPr>
            <w:tcW w:w="773" w:type="dxa"/>
            <w:gridSpan w:val="2"/>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46" w:type="dxa"/>
            <w:gridSpan w:val="2"/>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pPr>
            <w:r>
              <w:rPr/>
              <w:t>Money market funds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r>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257</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r>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257</w:t>
            </w:r>
          </w:p>
        </w:tc>
        <w:tc>
          <w:tcPr>
            <w:tcW w:w="75" w:type="dxa"/>
            <w:tcBorders/>
            <w:shd w:fill="CCEEFF" w:val="clear"/>
            <w:vAlign w:val="center"/>
          </w:tcPr>
          <w:p>
            <w:pPr>
              <w:pStyle w:val="TableContents"/>
              <w:bidi w:val="0"/>
              <w:spacing w:before="0" w:after="283"/>
              <w:jc w:val="left"/>
              <w:rPr/>
            </w:pPr>
            <w:r>
              <w:rPr/>
              <w:t> </w:t>
            </w:r>
          </w:p>
        </w:tc>
      </w:tr>
      <w:tr>
        <w:trPr/>
        <w:tc>
          <w:tcPr>
            <w:tcW w:w="4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2"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2"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52" w:type="dxa"/>
            <w:tcBorders>
              <w:bottom w:val="double" w:sz="10" w:space="0" w:color="000000"/>
            </w:tcBorders>
            <w:shd w:fill="CCEEFF" w:val="clear"/>
            <w:tcMar>
              <w:bottom w:w="28" w:type="dxa"/>
            </w:tcMar>
            <w:vAlign w:val="center"/>
          </w:tcPr>
          <w:p>
            <w:pPr>
              <w:pStyle w:val="TableContents"/>
              <w:bidi w:val="0"/>
              <w:spacing w:before="0" w:after="283"/>
              <w:jc w:val="right"/>
              <w:rPr/>
            </w:pPr>
            <w:r>
              <w:rPr/>
              <w:t>257</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2" w:type="dxa"/>
            <w:tcBorders>
              <w:bottom w:val="double" w:sz="10" w:space="0" w:color="000000"/>
            </w:tcBorders>
            <w:shd w:fill="CCEEFF" w:val="clear"/>
            <w:tcMar>
              <w:bottom w:w="28" w:type="dxa"/>
            </w:tcMar>
            <w:vAlign w:val="center"/>
          </w:tcPr>
          <w:p>
            <w:pPr>
              <w:pStyle w:val="TableContents"/>
              <w:bidi w:val="0"/>
              <w:spacing w:before="0" w:after="283"/>
              <w:jc w:val="right"/>
              <w:rPr/>
            </w:pPr>
            <w:r>
              <w:rPr/>
              <w:t>257</w:t>
            </w:r>
          </w:p>
        </w:tc>
        <w:tc>
          <w:tcPr>
            <w:tcW w:w="75" w:type="dxa"/>
            <w:tcBorders/>
            <w:shd w:fill="CCEEFF" w:val="clear"/>
            <w:vAlign w:val="center"/>
          </w:tcPr>
          <w:p>
            <w:pPr>
              <w:pStyle w:val="TableContents"/>
              <w:bidi w:val="0"/>
              <w:spacing w:before="0" w:after="283"/>
              <w:jc w:val="left"/>
              <w:rPr/>
            </w:pPr>
            <w:r>
              <w:rPr/>
              <w:t> </w:t>
            </w:r>
          </w:p>
        </w:tc>
      </w:tr>
      <w:tr>
        <w:trPr/>
        <w:tc>
          <w:tcPr>
            <w:tcW w:w="4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pPr>
            <w:r>
              <w:rPr/>
              <w:t>Liabilities: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85" w:type="dxa"/>
            <w:tcBorders/>
            <w:shd w:fill="FFFFFF" w:val="clear"/>
            <w:vAlign w:val="center"/>
          </w:tcPr>
          <w:p>
            <w:pPr>
              <w:pStyle w:val="TableContents"/>
              <w:bidi w:val="0"/>
              <w:spacing w:before="0" w:after="283"/>
              <w:jc w:val="left"/>
              <w:rPr/>
            </w:pPr>
            <w:r>
              <w:rPr/>
              <w:t>Short-term loan</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pPr>
            <w:r>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pPr>
            <w:r>
              <w:rPr/>
              <w:t>3,116</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3,116</w:t>
            </w:r>
          </w:p>
        </w:tc>
        <w:tc>
          <w:tcPr>
            <w:tcW w:w="75" w:type="dxa"/>
            <w:tcBorders/>
            <w:shd w:fill="FFFFFF" w:val="clear"/>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pPr>
            <w:r>
              <w:rPr/>
              <w:t>Contingent short-term earnout liability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right"/>
              <w:rPr/>
            </w:pPr>
            <w:r>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304</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304</w:t>
            </w:r>
          </w:p>
        </w:tc>
        <w:tc>
          <w:tcPr>
            <w:tcW w:w="75" w:type="dxa"/>
            <w:tcBorders/>
            <w:shd w:fill="CCEEFF" w:val="clear"/>
            <w:vAlign w:val="center"/>
          </w:tcPr>
          <w:p>
            <w:pPr>
              <w:pStyle w:val="TableContents"/>
              <w:bidi w:val="0"/>
              <w:spacing w:before="0" w:after="283"/>
              <w:jc w:val="left"/>
              <w:rPr/>
            </w:pPr>
            <w:r>
              <w:rPr/>
              <w:t> </w:t>
            </w:r>
          </w:p>
        </w:tc>
      </w:tr>
      <w:tr>
        <w:trPr/>
        <w:tc>
          <w:tcPr>
            <w:tcW w:w="4085" w:type="dxa"/>
            <w:tcBorders/>
            <w:shd w:fill="FFFFFF" w:val="clear"/>
            <w:vAlign w:val="center"/>
          </w:tcPr>
          <w:p>
            <w:pPr>
              <w:pStyle w:val="TableContents"/>
              <w:bidi w:val="0"/>
              <w:spacing w:before="0" w:after="283"/>
              <w:jc w:val="left"/>
              <w:rPr/>
            </w:pPr>
            <w:r>
              <w:rPr/>
              <w:t>Contingent long-term earnout liability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12" w:space="0" w:color="000000"/>
            </w:tcBorders>
            <w:shd w:fill="FFFFFF" w:val="clear"/>
            <w:tcMar>
              <w:bottom w:w="28" w:type="dxa"/>
            </w:tcMar>
            <w:vAlign w:val="center"/>
          </w:tcPr>
          <w:p>
            <w:pPr>
              <w:pStyle w:val="TableContents"/>
              <w:bidi w:val="0"/>
              <w:spacing w:before="0" w:after="283"/>
              <w:jc w:val="right"/>
              <w:rPr/>
            </w:pPr>
            <w:r>
              <w:rPr/>
              <w:t>173</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2" w:type="dxa"/>
            <w:tcBorders>
              <w:bottom w:val="single" w:sz="12" w:space="0" w:color="000000"/>
            </w:tcBorders>
            <w:shd w:fill="FFFFFF" w:val="clear"/>
            <w:tcMar>
              <w:bottom w:w="28" w:type="dxa"/>
            </w:tcMar>
            <w:vAlign w:val="center"/>
          </w:tcPr>
          <w:p>
            <w:pPr>
              <w:pStyle w:val="TableContents"/>
              <w:bidi w:val="0"/>
              <w:spacing w:before="0" w:after="283"/>
              <w:jc w:val="right"/>
              <w:rPr/>
            </w:pPr>
            <w:r>
              <w:rPr/>
              <w:t>173</w:t>
            </w:r>
          </w:p>
        </w:tc>
        <w:tc>
          <w:tcPr>
            <w:tcW w:w="75" w:type="dxa"/>
            <w:tcBorders/>
            <w:shd w:fill="FFFFFF" w:val="clear"/>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52"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3" w:type="dxa"/>
            <w:tcBorders>
              <w:bottom w:val="double" w:sz="10" w:space="0" w:color="000000"/>
            </w:tcBorders>
            <w:shd w:fill="CCEEFF" w:val="clear"/>
            <w:tcMar>
              <w:bottom w:w="28" w:type="dxa"/>
            </w:tcMar>
            <w:vAlign w:val="center"/>
          </w:tcPr>
          <w:p>
            <w:pPr>
              <w:pStyle w:val="TableContents"/>
              <w:bidi w:val="0"/>
              <w:spacing w:before="0" w:after="283"/>
              <w:jc w:val="right"/>
              <w:rPr/>
            </w:pPr>
            <w:r>
              <w:rPr/>
              <w:t>3,593</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2" w:type="dxa"/>
            <w:tcBorders>
              <w:bottom w:val="double" w:sz="10" w:space="0" w:color="000000"/>
            </w:tcBorders>
            <w:shd w:fill="CCEEFF" w:val="clear"/>
            <w:tcMar>
              <w:bottom w:w="28" w:type="dxa"/>
            </w:tcMar>
            <w:vAlign w:val="center"/>
          </w:tcPr>
          <w:p>
            <w:pPr>
              <w:pStyle w:val="TableContents"/>
              <w:bidi w:val="0"/>
              <w:spacing w:before="0" w:after="283"/>
              <w:jc w:val="right"/>
              <w:rPr/>
            </w:pPr>
            <w:r>
              <w:rPr/>
              <w:t>3,593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AFS securities within Level 2 because it uses alternative pricing sources and models utilizing market observable inputs to determine their fair value.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w:t>
            </w:r>
          </w:p>
        </w:tc>
        <w:tc>
          <w:tcPr>
            <w:tcW w:w="9935" w:type="dxa"/>
            <w:tcBorders/>
            <w:vAlign w:val="center"/>
          </w:tcPr>
          <w:p>
            <w:pPr>
              <w:pStyle w:val="TableContents"/>
              <w:bidi w:val="0"/>
              <w:spacing w:before="0" w:after="283"/>
              <w:jc w:val="both"/>
              <w:rPr/>
            </w:pPr>
            <w:r>
              <w:rPr/>
              <w:t>As of December 31, 2025, approximately $257 thousand of money market funds were classified under “Cash and Cash equivalents” in the consolidated balance sheets as such securities met all applicable classification criteria.</w:t>
            </w:r>
          </w:p>
        </w:tc>
      </w:tr>
      <w:tr>
        <w:trPr/>
        <w:tc>
          <w:tcPr>
            <w:tcW w:w="270" w:type="dxa"/>
            <w:tcBorders/>
            <w:vAlign w:val="center"/>
          </w:tcPr>
          <w:p>
            <w:pPr>
              <w:pStyle w:val="TableContents"/>
              <w:bidi w:val="0"/>
              <w:spacing w:before="0" w:after="283"/>
              <w:jc w:val="left"/>
              <w:rPr/>
            </w:pPr>
            <w:r>
              <w:rPr/>
              <w:t> </w:t>
            </w:r>
          </w:p>
        </w:tc>
        <w:tc>
          <w:tcPr>
            <w:tcW w:w="9935" w:type="dxa"/>
            <w:tcBorders/>
            <w:vAlign w:val="center"/>
          </w:tcPr>
          <w:p>
            <w:pPr>
              <w:pStyle w:val="TableContents"/>
              <w:bidi w:val="0"/>
              <w:spacing w:before="0" w:after="283"/>
              <w:jc w:val="both"/>
              <w:rPr/>
            </w:pPr>
            <w:r>
              <w:rPr/>
              <w:t> </w:t>
            </w:r>
          </w:p>
        </w:tc>
      </w:tr>
      <w:tr>
        <w:trPr/>
        <w:tc>
          <w:tcPr>
            <w:tcW w:w="270" w:type="dxa"/>
            <w:tcBorders/>
            <w:vAlign w:val="center"/>
          </w:tcPr>
          <w:p>
            <w:pPr>
              <w:pStyle w:val="TableContents"/>
              <w:bidi w:val="0"/>
              <w:spacing w:before="0" w:after="283"/>
              <w:jc w:val="left"/>
              <w:rPr/>
            </w:pPr>
            <w:r>
              <w:rPr/>
              <w:t>(**)</w:t>
            </w:r>
          </w:p>
        </w:tc>
        <w:tc>
          <w:tcPr>
            <w:tcW w:w="9935" w:type="dxa"/>
            <w:tcBorders/>
            <w:vAlign w:val="center"/>
          </w:tcPr>
          <w:p>
            <w:pPr>
              <w:pStyle w:val="TableContents"/>
              <w:bidi w:val="0"/>
              <w:spacing w:before="0" w:after="283"/>
              <w:jc w:val="both"/>
              <w:rPr/>
            </w:pPr>
            <w:r>
              <w:rPr/>
              <w:t>The income valuation approach is applied, and the valuation inputs include the contingent payment arrangement terms, discount rate and probability assessments.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IMAGING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CONDENSED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Contingent earnout liability: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the fair value of the liabilities for the earn-out contingent consideration based on a discounted cash flow analysis with regards to the achievement of certain milestones and discount rate. This fair value measurement is based on significant unobservable inputs and thus represents a Level 3 measurement within the fair value hierarchy. The contingent short and long term earnout liability consideration is evaluated quarterly. Changes in the fair value of contingent consideration liabilities are recorded in the consolidated statements of operations. The following table summarizes the activity for those financial liabilities where fair value measurements are estimated utilizing Level 3 inputs:</w:t>
      </w:r>
    </w:p>
    <w:p>
      <w:pPr>
        <w:pStyle w:val="TextBody"/>
        <w:bidi w:val="0"/>
        <w:spacing w:before="0" w:after="0"/>
        <w:ind w:left="0" w:right="0" w:hanging="0"/>
        <w:jc w:val="both"/>
        <w:rPr>
          <w:caps w:val="false"/>
          <w:smallCaps w:val="false"/>
        </w:rPr>
      </w:pPr>
      <w:r>
        <w:rPr>
          <w:caps w:val="false"/>
          <w:smallCaps w:val="false"/>
        </w:rPr>
        <w:t> </w:t>
      </w:r>
    </w:p>
    <w:tbl>
      <w:tblPr>
        <w:tblW w:w="7564" w:type="dxa"/>
        <w:jc w:val="left"/>
        <w:tblInd w:w="0" w:type="dxa"/>
        <w:tblLayout w:type="fixed"/>
        <w:tblCellMar>
          <w:top w:w="0" w:type="dxa"/>
          <w:left w:w="0" w:type="dxa"/>
          <w:bottom w:w="0" w:type="dxa"/>
          <w:right w:w="0" w:type="dxa"/>
        </w:tblCellMar>
      </w:tblPr>
      <w:tblGrid>
        <w:gridCol w:w="4925"/>
        <w:gridCol w:w="60"/>
        <w:gridCol w:w="205"/>
        <w:gridCol w:w="670"/>
        <w:gridCol w:w="95"/>
        <w:gridCol w:w="60"/>
        <w:gridCol w:w="396"/>
        <w:gridCol w:w="1078"/>
        <w:gridCol w:w="75"/>
      </w:tblGrid>
      <w:tr>
        <w:trPr/>
        <w:tc>
          <w:tcPr>
            <w:tcW w:w="49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75" w:type="dxa"/>
            <w:tcBorders/>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4" w:type="dxa"/>
            <w:gridSpan w:val="6"/>
            <w:tcBorders/>
            <w:vAlign w:val="center"/>
          </w:tcPr>
          <w:p>
            <w:pPr>
              <w:pStyle w:val="TableContents"/>
              <w:bidi w:val="0"/>
              <w:spacing w:before="0" w:after="283"/>
              <w:jc w:val="center"/>
              <w:rPr>
                <w:b/>
              </w:rPr>
            </w:pPr>
            <w:r>
              <w:rPr>
                <w:b/>
              </w:rPr>
              <w:t>(U.S. $ in thousands)</w:t>
            </w:r>
          </w:p>
        </w:tc>
        <w:tc>
          <w:tcPr>
            <w:tcW w:w="75" w:type="dxa"/>
            <w:tcBorders/>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Fair value at the beginning of the period</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670" w:type="dxa"/>
            <w:tcBorders/>
            <w:shd w:fill="CCEEFF" w:val="clear"/>
            <w:vAlign w:val="center"/>
          </w:tcPr>
          <w:p>
            <w:pPr>
              <w:pStyle w:val="TableContents"/>
              <w:bidi w:val="0"/>
              <w:spacing w:before="0" w:after="283"/>
              <w:jc w:val="right"/>
              <w:rPr/>
            </w:pPr>
            <w:r>
              <w:rPr/>
              <w:t>477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w:t>
            </w:r>
          </w:p>
        </w:tc>
        <w:tc>
          <w:tcPr>
            <w:tcW w:w="107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pPr>
            <w:r>
              <w:rPr/>
              <w:t>Initial recognition of earnout liabilities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pPr>
            <w:r>
              <w:rPr/>
              <w:t>470</w:t>
            </w:r>
          </w:p>
        </w:tc>
        <w:tc>
          <w:tcPr>
            <w:tcW w:w="75"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Change in fair value of earn out liabilitity obligation</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pPr>
            <w:r>
              <w:rPr/>
              <w:t>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7</w:t>
            </w:r>
          </w:p>
        </w:tc>
        <w:tc>
          <w:tcPr>
            <w:tcW w:w="75"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pPr>
            <w:r>
              <w:rPr/>
              <w:t>Payment of earnout liabilities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pPr>
            <w:r>
              <w:rPr/>
              <w:t>(127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Fair value at the end of the period</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670" w:type="dxa"/>
            <w:tcBorders/>
            <w:shd w:fill="CCEEFF" w:val="clear"/>
            <w:vAlign w:val="center"/>
          </w:tcPr>
          <w:p>
            <w:pPr>
              <w:pStyle w:val="TableContents"/>
              <w:bidi w:val="0"/>
              <w:spacing w:before="0" w:after="283"/>
              <w:jc w:val="right"/>
              <w:rPr/>
            </w:pPr>
            <w:r>
              <w:rPr/>
              <w:t>377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left"/>
              <w:rPr/>
            </w:pPr>
            <w:r>
              <w:rPr/>
              <w:t>$</w:t>
            </w:r>
          </w:p>
        </w:tc>
        <w:tc>
          <w:tcPr>
            <w:tcW w:w="1078" w:type="dxa"/>
            <w:tcBorders/>
            <w:shd w:fill="CCEEFF" w:val="clear"/>
            <w:vAlign w:val="center"/>
          </w:tcPr>
          <w:p>
            <w:pPr>
              <w:pStyle w:val="TableContents"/>
              <w:bidi w:val="0"/>
              <w:spacing w:before="0" w:after="283"/>
              <w:jc w:val="right"/>
              <w:rPr/>
            </w:pPr>
            <w:r>
              <w:rPr/>
              <w:t>477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Accounting Pronouncements Effective in the Six Months Ended June 30,2026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 – Credit Losses (Topic 326)” to address challenges encountered when applying the guidance in Topic 326 to current accounts receivable and current contract assets arising from transactions accounted for under Topic 606, Revenue from Contracts with Customers. Under the previous accounting guidance, an entity estimates expected credit losses based on relevant information about past events, current economic conditions, and reasonable and supportable forecasts of future economic conditions that affect the collectability of the reported amounts. The amendments in this ASU introduce a practical expedient that allows all entities to assume that current conditions as of the balance sheet date do not change for the remaining life of the asset when developing reasonable and supportable forecasts as part of estimating expected credit losses. This ASU is effective for annual reporting periods beginning after December 15, 2025, and interim reporting periods within those annual reporting periods. This ASU should be applied on a prospective basis. The adoption of ASU 2025-05 did not have an impact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Accounting pronouncements Accounting Pronouncements effective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 - Reporting Comprehensive Income - Expense Disaggregation Disclosure (Subtopic 220-40): Disaggregation of Income Statement Expense and ASU 2025-01, Income Statement – Reporting Comprehensive Income - Expense Disaggregation Disclosures (Subtopic 220-40): Clarifying the Effective Date. The ASU improves the disclosures about a public business entity’s expenses and provides more detailed information about the types of expenses in commonly presented expense captions. The amendments require that at each interim and annual reporting period an entity will, inter alia, disclose amounts of purchases of inventory, employee compensation, depreciation and amortization included in each relevant expense caption (such as cost of sales, general and administrative, and research and development). The ASU is effective for annual reporting periods beginning after December 15, 2026, and interim periods within annual reporting periods beginning after December 15, 2027. Early adoption is permitted. The Company is evaluating the potential impact of this guidance on its consolidated financial statement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IMAGING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CONDENSED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Accounting Standards Update 2025-06, Intangibles-Goodwill and Other-Internal-Use Software (Subtopic 350-40): Targeted Improvements to the Accounting for Internal-Use Software (“ASU 2025-06”). ASU 2025-06 provides targeted improvements to the accounting for internal-use software costs by replacing the existing project-stage model with a principles-based approach to determine when capitalization of costs should begin. ASU 2025-06 is effective for all entities for annual reporting periods beginning after December 15, 2027 on a prospective basis, with early adoption permitted. The Company is currently evaluating the potential impact that ASU 2025-06 will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2025-10, Government Grants (Topic 832) – Accounting for Government Grants Received by Business Entities. The ASU adds guidance to Accounting Standards Codification 832 on the recognition, measurement, and presentation of government grants. The guidance will be effective for annual reporting periods beginning after December15, 2028, and interim reporting periods within those annual reporting periods. Early adoption is permitted. The standard updates are to be applied using either a modified prospective, modified retrospective, or full retrospective approach, as detailed in the ASU. The Company is currently evaluating the impact of adoption of the standard update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“Interim Reporting (Topic 270)” to improve the navigability of required interim disclosures, clarify when that guidance is applicable, and provide additional guidance on what disclosures should be provided in interim reporting periods. The amendments provide a comprehensive list of required interim disclosures and add a principle that requires entities to disclose events since the end of the last annual reporting period that have a material impact on the entity. This ASU is not intended to change the fundamental nature of interim reporting or expand or reduce current interim reporting requirements. Rather, the objective of this ASU is to provide clarity regarding current interim reporting requirements already in place. This ASU is effective for interim reporting periods within annual reporting periods beginning after December 15, 2027. Early adoption is permitted. This ASU should be applied either prospectively or retrospectively to all prior periods presented. The Company anticipates that the adoption of this ASU will not have a material impact on its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3 – INTANGIBLE ASSETS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of 2026, in connection with a significant decline in the Company’s share price, the Company identified indicators of impairment related to its AI Solutions business unit (excluding Nanox Health IT Inc.) and its Nanox ARC business unit, which are at the lowest level of determining asset groups that generate cash flows separate from other asset groups. The indicators of impairment for each asset group were reduced forecasted revenues and operating results. As a result, the Company performed undiscounted cash flow analyses at each asset group level pursuant to ASC 360 to determine if the cash flows expected to be generated by each respective reporting unit over the estimated remaining useful life of the respective business unit’s primary asset were sufficient to recover the carrying value of each asset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these analyses, the Company determined the undiscounted cash flows for the ARC asset group was sufficient to recover its carrying value whereas the undiscounted cash flows for the AI Solutions asset group was not sufficient to recover the carrying value of its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Company determined the fair value of the AI Solutions asset group. To estimate the fair value of the asset group, the Company utilized Level 3 measures that represent unobservable inputs, under the income approach, which is based on a discounted cash flow (DCF) analysis using market participants’ assumptions and calculates the fair value by estimating the after-tax cash flows attributable to the asset group and then discounting the after-tax cash flows to present value using a risk-adjusted discount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IMAGING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CONDENSED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Assumptions used in the DCF require significant judgment, including judgment about appropriate discount rates, growth rates, and the amount and timing of expected future cash flows. Key assumptions used to determine the estimated fair value include: (a) internal cash flows forecasts for 5.5 years following the assessment date, including expected revenue growth, costs to sales and operating expenses and (b) a discount rate of 25.3% (after tax) which reflects the weighted-average cost of capital adjusted for the relevant risk associated with the AI solutions asset group operations and the uncertainty inherent in the Company’s internally developed forecasts. The forecasted cash flows for the AI Solutions asset group were based on the Company’s most recent strategic plan and for periods beyond the strategic plan, the Company’s estimates were based on assumed growth rates expected as of the measurement date. The Company believes its assumptions were consistent with the plans and estimates that a market participant would use to manage its business. As a result of this analysis, the Company determined the fair value of the asset group was below its carrying value.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record the asset group to fair value, the Company recorded an impairment charge of $40,695 thousand during the second quarter of 2026 recorded to cost of revenues – Impairment of intangible assets reducing the fair value of this asset group to $1,865 thousand. The impairment charge was allocated to the long-lived assets on a pro-rata basis as follows: $13,595 thousand to developed technology and $27,100 thousand to Image big data. Actual operating results and the related cash flows of the asset group could differ from the estimated operating results and related cash flows. In the event the asset group does not meet its forecasted projections, additional impairment charges could be recorded in the future. The Company also re-evaluated the remaining useful lives of the intangible assets and concluded no changes were necessary.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4 – COMMITMENTS AND CONTINGENCIES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105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become involved in various lawsuits and legal proceedings which arise in the ordinary course of business. However, litigation is subject to inherent uncertainties, and an adverse result in these or other matters may arise from time to time that may harm the Company’s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14, 2026, an amended claim was filed in the Circuit Court of the 1st Judicial Circuit in and for Okaloosa County, Florida, against several defendants, including USARAD, and a USARAD radiologist, alleging failure to diagnose an aneurysm and negligent communication to an ordering physician.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the progress achieved and the insurance Company’s written confirmation, the parties reached a settlement agreement. Subject to the final execution of such agreement, the company will pay an amount of $650 thousand, which will be reimbursed by the insurance company. Accordingly, on June 30, 2026, the Company recorded a provision of $650 thousand and recognized an insurance recovery asset for the same amount. The provision and the recovery asset are recorded in Other current liabilities and Other current assets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 2023, the Company received a notice alleging several causes of action, including breach of a consulting agreement between the claimant and Nanox Imaging PLC (the “Gibraltar Entity”) that was entered into in 2015. The claimant’s demand from the Company is for the payment of approximately$1.26 million for unpaid consulting fees from the Gibraltar Entity and approximately $25 million connection with his claimed entitlement to securities in the Gibraltar Entity. On or about December 21, 2023, a claim was filed in Israel against the Company, the Gibraltar Entity and the late Mr. Ran Poliakine, based on allegations previously dismissed by a U.S. court in the State of California. The Company reiterates its strong denial of the plaintiff’s baseless claims and emphasizes that the Company was never a party to the consulting agreement with the plaintiff. In addition, the Company is not responsible for any potential liabilities of the Gibraltar Entity, which is a separate legal entity. On April 5, 2024, the Gibraltar Entity filed an amended claim and a request for an anti-suit injunction (“ASI”) in Gibraltar against the plaintiff. On November 18, 2024, the Gibraltar court granted the Gibraltar Entity’s request and issued an ASI, preventing the plaintiff from continuing to pursue the present claim against the Gibraltar Entity in Israel. As a result, the dispute between the plaintiff and the Gibraltar Entity will be adjudicated before the Gibraltar court, in accordance with Gibraltar law.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plaintiff filed a new claim against the Company with the Gibraltar court, which was dismissed due to procedural defects. The plaintiff filed an additional claim against the Company, which was served on the Company on December 25, 2025. The Company decided not to contest the jurisdiction of the Gibraltar court and consent to the Gibraltar jurisdiction, and will therefore submit a statement of defense in the Gibraltar court. In light of the above, on February 1, 2026, the plaintiff filed with the court in Israel a motion seeking to dismiss the claim submitted against the Company in Israel and thereby close the proceedings in Israel. The Company has submitted its response to the motion, together with a request for an award of costs, on April 26, 2026, in which it argued that there was no basis to file the claim against it in the first place, as its adjudication is contingent upon a prior determination of the date of termination of the engagement between the plaintiff and the Gibraltar Entity, before the court in Gibraltar, and only thereafter, to the extent it is determined that a breach occurred (which is denied), could the claims against the Company, which are wholly denied, be addressed.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IMAGING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CONDENSED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2026, a class action complaint was filed in the United States District Court of New Jersey against the Company and certain of its officers, captioned Steele v. Nano-X Imaging Ltd. et al, Case No. 1:26-cv-07062. The complaint alleges violations of federal securities laws on behalf of all persons and entities that purchased or otherwise acquired the Company’s publicly traded securities between March 31, 2025 and April 17, 2026 in connection with certain disclosures concerning the Company’s business, operations, and prospects, including with respect to the Company’s manufacturing facility in Korea. The plaintiff is seeking money damages. The complaint alleges that defendants violated the federal securities laws in connection with certain disclosures concerning the Company’s business, operations, and prospects. Due to the early stage of the case, it is not possible to assess the probability of a loss or reasonably estimate the ultimate costs and damages. Consequently, no accrual has been made in the financial statements regarding this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IIA grants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Innovation Law (formerly known as the Encouragement of Industrial Research and Development Law, 5744-1984) as currently in effect, Nanox AI is required to pay royalties to the Israeli Innovation Authority (the “IIA”) of 3% on sales of products and services based on technology and know-how developed using such IIA research and development grants, until 100% (which may be increased under certain circumstances) of the grant, linked to the U.S. dollar and bearing interest at the SOFR rate, is repaid. As of June 30, 2026, Nanox AI had paid royalties to the IIA in the amount of approximately $90 and had a remaining contingent liability to the IIA of approximately $4.2 million.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DEFERRED REVENUE</w:t>
      </w:r>
    </w:p>
    <w:p>
      <w:pPr>
        <w:pStyle w:val="TextBody"/>
        <w:bidi w:val="0"/>
        <w:spacing w:before="0" w:after="0"/>
        <w:ind w:left="159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the changes in deferred revenue for six months ended June 30, 2026:</w:t>
      </w:r>
    </w:p>
    <w:p>
      <w:pPr>
        <w:pStyle w:val="TextBody"/>
        <w:bidi w:val="0"/>
        <w:spacing w:before="0" w:after="0"/>
        <w:ind w:left="1596" w:right="0" w:hanging="0"/>
        <w:jc w:val="left"/>
        <w:rPr>
          <w:caps w:val="false"/>
          <w:smallCaps w:val="false"/>
        </w:rPr>
      </w:pPr>
      <w:r>
        <w:rPr>
          <w:caps w:val="false"/>
          <w:smallCaps w:val="false"/>
        </w:rPr>
        <w:t> </w:t>
      </w:r>
    </w:p>
    <w:tbl>
      <w:tblPr>
        <w:tblW w:w="5744" w:type="dxa"/>
        <w:jc w:val="left"/>
        <w:tblInd w:w="0" w:type="dxa"/>
        <w:tblLayout w:type="fixed"/>
        <w:tblCellMar>
          <w:top w:w="0" w:type="dxa"/>
          <w:left w:w="0" w:type="dxa"/>
          <w:bottom w:w="0" w:type="dxa"/>
          <w:right w:w="0" w:type="dxa"/>
        </w:tblCellMar>
      </w:tblPr>
      <w:tblGrid>
        <w:gridCol w:w="4190"/>
        <w:gridCol w:w="60"/>
        <w:gridCol w:w="325"/>
        <w:gridCol w:w="1059"/>
        <w:gridCol w:w="110"/>
      </w:tblGrid>
      <w:tr>
        <w:trPr/>
        <w:tc>
          <w:tcPr>
            <w:tcW w:w="4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center"/>
              <w:rPr>
                <w:b/>
              </w:rPr>
            </w:pPr>
            <w:r>
              <w:rPr>
                <w:b/>
              </w:rPr>
              <w:t>Deferred</w:t>
            </w:r>
          </w:p>
        </w:tc>
        <w:tc>
          <w:tcPr>
            <w:tcW w:w="110" w:type="dxa"/>
            <w:tcBorders/>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center"/>
              <w:rPr>
                <w:b/>
              </w:rPr>
            </w:pPr>
            <w:r>
              <w:rPr>
                <w:b/>
              </w:rPr>
              <w:t>Revenue</w:t>
            </w:r>
          </w:p>
        </w:tc>
        <w:tc>
          <w:tcPr>
            <w:tcW w:w="110" w:type="dxa"/>
            <w:tcBorders/>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center"/>
              <w:rPr>
                <w:b/>
              </w:rPr>
            </w:pPr>
            <w:r>
              <w:rPr>
                <w:b/>
              </w:rPr>
              <w:t>(U.S. Dollars</w:t>
            </w:r>
          </w:p>
        </w:tc>
        <w:tc>
          <w:tcPr>
            <w:tcW w:w="110" w:type="dxa"/>
            <w:tcBorders/>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pPr>
            <w:r>
              <w:rPr/>
              <w:t>Balance at December 31, 2025 (*)</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w:t>
            </w:r>
          </w:p>
        </w:tc>
        <w:tc>
          <w:tcPr>
            <w:tcW w:w="1059" w:type="dxa"/>
            <w:tcBorders/>
            <w:shd w:fill="CCEEFF" w:val="clear"/>
            <w:vAlign w:val="center"/>
          </w:tcPr>
          <w:p>
            <w:pPr>
              <w:pStyle w:val="TableContents"/>
              <w:bidi w:val="0"/>
              <w:spacing w:before="0" w:after="283"/>
              <w:jc w:val="right"/>
              <w:rPr/>
            </w:pPr>
            <w:r>
              <w:rPr/>
              <w:t>551</w:t>
            </w:r>
          </w:p>
        </w:tc>
        <w:tc>
          <w:tcPr>
            <w:tcW w:w="110"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283"/>
              <w:jc w:val="left"/>
              <w:rPr/>
            </w:pPr>
            <w:r>
              <w:rPr/>
              <w:t>Additions</w:t>
            </w:r>
          </w:p>
        </w:tc>
        <w:tc>
          <w:tcPr>
            <w:tcW w:w="6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1059" w:type="dxa"/>
            <w:tcBorders/>
            <w:shd w:fill="FFFFFF" w:val="clear"/>
            <w:vAlign w:val="center"/>
          </w:tcPr>
          <w:p>
            <w:pPr>
              <w:pStyle w:val="TableContents"/>
              <w:bidi w:val="0"/>
              <w:spacing w:before="0" w:after="283"/>
              <w:jc w:val="right"/>
              <w:rPr/>
            </w:pPr>
            <w:r>
              <w:rPr/>
              <w:t>436</w:t>
            </w:r>
          </w:p>
        </w:tc>
        <w:tc>
          <w:tcPr>
            <w:tcW w:w="110"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pPr>
            <w:r>
              <w:rPr/>
              <w:t>Revenue recognized in the reported period -</w:t>
            </w:r>
          </w:p>
        </w:tc>
        <w:tc>
          <w:tcPr>
            <w:tcW w:w="60" w:type="dxa"/>
            <w:tcBorders/>
            <w:shd w:fill="CCEEFF" w:val="clear"/>
            <w:vAlign w:val="center"/>
          </w:tcPr>
          <w:p>
            <w:pPr>
              <w:pStyle w:val="TableContents"/>
              <w:bidi w:val="0"/>
              <w:spacing w:before="0" w:after="283"/>
              <w:jc w:val="left"/>
              <w:rPr/>
            </w:pPr>
            <w:r>
              <w:rPr/>
              <w:t> </w:t>
            </w:r>
          </w:p>
        </w:tc>
        <w:tc>
          <w:tcPr>
            <w:tcW w:w="3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9" w:type="dxa"/>
            <w:tcBorders>
              <w:bottom w:val="single" w:sz="12" w:space="0" w:color="000000"/>
            </w:tcBorders>
            <w:shd w:fill="CCEEFF" w:val="clear"/>
            <w:tcMar>
              <w:bottom w:w="28" w:type="dxa"/>
            </w:tcMar>
            <w:vAlign w:val="center"/>
          </w:tcPr>
          <w:p>
            <w:pPr>
              <w:pStyle w:val="TableContents"/>
              <w:bidi w:val="0"/>
              <w:spacing w:before="0" w:after="283"/>
              <w:jc w:val="right"/>
              <w:rPr/>
            </w:pPr>
            <w:r>
              <w:rPr/>
              <w:t>(380</w:t>
            </w:r>
          </w:p>
        </w:tc>
        <w:tc>
          <w:tcPr>
            <w:tcW w:w="110" w:type="dxa"/>
            <w:tcBorders/>
            <w:shd w:fill="CCEEFF" w:val="clear"/>
            <w:vAlign w:val="center"/>
          </w:tcPr>
          <w:p>
            <w:pPr>
              <w:pStyle w:val="TableContents"/>
              <w:bidi w:val="0"/>
              <w:spacing w:before="0" w:after="283"/>
              <w:jc w:val="left"/>
              <w:rPr/>
            </w:pPr>
            <w:r>
              <w:rPr/>
              <w:t>)</w:t>
            </w:r>
          </w:p>
        </w:tc>
      </w:tr>
      <w:tr>
        <w:trPr/>
        <w:tc>
          <w:tcPr>
            <w:tcW w:w="4190" w:type="dxa"/>
            <w:tcBorders/>
            <w:shd w:fill="FFFFFF" w:val="clear"/>
            <w:vAlign w:val="center"/>
          </w:tcPr>
          <w:p>
            <w:pPr>
              <w:pStyle w:val="TableContents"/>
              <w:bidi w:val="0"/>
              <w:spacing w:before="0" w:after="283"/>
              <w:jc w:val="left"/>
              <w:rPr/>
            </w:pPr>
            <w:r>
              <w:rPr/>
              <w:t>Balance at June 30, 2026 (*)</w:t>
            </w:r>
          </w:p>
        </w:tc>
        <w:tc>
          <w:tcPr>
            <w:tcW w:w="60" w:type="dxa"/>
            <w:tcBorders/>
            <w:shd w:fill="FFFFFF" w:val="clear"/>
            <w:vAlign w:val="center"/>
          </w:tcPr>
          <w:p>
            <w:pPr>
              <w:pStyle w:val="TableContents"/>
              <w:bidi w:val="0"/>
              <w:spacing w:before="0" w:after="283"/>
              <w:jc w:val="left"/>
              <w:rPr/>
            </w:pPr>
            <w:r>
              <w:rPr/>
              <w:t> </w:t>
            </w:r>
          </w:p>
        </w:tc>
        <w:tc>
          <w:tcPr>
            <w:tcW w:w="325"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59" w:type="dxa"/>
            <w:tcBorders>
              <w:bottom w:val="single" w:sz="12" w:space="0" w:color="000000"/>
            </w:tcBorders>
            <w:shd w:fill="FFFFFF" w:val="clear"/>
            <w:tcMar>
              <w:bottom w:w="28" w:type="dxa"/>
            </w:tcMar>
            <w:vAlign w:val="center"/>
          </w:tcPr>
          <w:p>
            <w:pPr>
              <w:pStyle w:val="TableContents"/>
              <w:bidi w:val="0"/>
              <w:spacing w:before="0" w:after="283"/>
              <w:jc w:val="right"/>
              <w:rPr/>
            </w:pPr>
            <w:r>
              <w:rPr/>
              <w:t>607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596"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b/>
              </w:rPr>
            </w:pPr>
            <w:r>
              <w:rPr>
                <w:b/>
              </w:rPr>
              <w:t>(*)</w:t>
            </w:r>
          </w:p>
        </w:tc>
        <w:tc>
          <w:tcPr>
            <w:tcW w:w="9965" w:type="dxa"/>
            <w:tcBorders/>
            <w:vAlign w:val="center"/>
          </w:tcPr>
          <w:p>
            <w:pPr>
              <w:pStyle w:val="TableContents"/>
              <w:bidi w:val="0"/>
              <w:spacing w:before="0" w:after="283"/>
              <w:jc w:val="both"/>
              <w:rPr/>
            </w:pPr>
            <w:r>
              <w:rPr/>
              <w:t>Includes $6 thousand and $17 thousand in long term deferred revenue in the Company’s consolidated balance sheets as of June 30, 2026 and December 31, 2025, respectively.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SHAREHOLDERS’ EQUITY:</w:t>
      </w:r>
    </w:p>
    <w:p>
      <w:pPr>
        <w:pStyle w:val="TextBody"/>
        <w:bidi w:val="0"/>
        <w:spacing w:before="0" w:after="0"/>
        <w:ind w:left="993"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 capital</w:t>
      </w:r>
    </w:p>
    <w:p>
      <w:pPr>
        <w:pStyle w:val="TextBody"/>
        <w:bidi w:val="0"/>
        <w:spacing w:before="0" w:after="0"/>
        <w:ind w:left="1440" w:right="0" w:hanging="10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number of authorized and issued and outstanding shares as of each reporting date for each class of shares:</w:t>
      </w:r>
    </w:p>
    <w:p>
      <w:pPr>
        <w:pStyle w:val="TextBody"/>
        <w:bidi w:val="0"/>
        <w:spacing w:before="0" w:after="0"/>
        <w:ind w:left="0" w:right="0" w:hanging="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1535"/>
        <w:gridCol w:w="60"/>
        <w:gridCol w:w="60"/>
        <w:gridCol w:w="1220"/>
        <w:gridCol w:w="60"/>
        <w:gridCol w:w="60"/>
        <w:gridCol w:w="66"/>
        <w:gridCol w:w="1214"/>
        <w:gridCol w:w="60"/>
        <w:gridCol w:w="60"/>
        <w:gridCol w:w="60"/>
        <w:gridCol w:w="1220"/>
        <w:gridCol w:w="60"/>
        <w:gridCol w:w="60"/>
        <w:gridCol w:w="66"/>
        <w:gridCol w:w="1214"/>
        <w:gridCol w:w="75"/>
      </w:tblGrid>
      <w:tr>
        <w:trPr/>
        <w:tc>
          <w:tcPr>
            <w:tcW w:w="1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Authorized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Issued and </w:t>
              <w:b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Authorized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Issued and </w:t>
              <w:br/>
              <w:t>Outstanding</w:t>
            </w:r>
          </w:p>
        </w:tc>
        <w:tc>
          <w:tcPr>
            <w:tcW w:w="75"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283"/>
              <w:jc w:val="left"/>
              <w:rPr/>
            </w:pPr>
            <w:r>
              <w:rPr/>
              <w:t>Ordinary shares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100,000,000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CCEEFF" w:val="clear"/>
            <w:tcMar>
              <w:bottom w:w="28" w:type="dxa"/>
            </w:tcMar>
            <w:vAlign w:val="center"/>
          </w:tcPr>
          <w:p>
            <w:pPr>
              <w:pStyle w:val="TableContents"/>
              <w:bidi w:val="0"/>
              <w:spacing w:before="0" w:after="283"/>
              <w:jc w:val="right"/>
              <w:rPr/>
            </w:pPr>
            <w:r>
              <w:rPr/>
              <w:t>70,061,338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100,000,000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CCEEFF" w:val="clear"/>
            <w:tcMar>
              <w:bottom w:w="28" w:type="dxa"/>
            </w:tcMar>
            <w:vAlign w:val="center"/>
          </w:tcPr>
          <w:p>
            <w:pPr>
              <w:pStyle w:val="TableContents"/>
              <w:bidi w:val="0"/>
              <w:spacing w:before="0" w:after="283"/>
              <w:jc w:val="right"/>
              <w:rPr/>
            </w:pPr>
            <w:r>
              <w:rPr/>
              <w:t>69,590,228</w:t>
            </w:r>
          </w:p>
        </w:tc>
        <w:tc>
          <w:tcPr>
            <w:tcW w:w="75" w:type="dxa"/>
            <w:tcBorders/>
            <w:shd w:fill="CCEE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100,000,000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14" w:type="dxa"/>
            <w:tcBorders>
              <w:bottom w:val="double" w:sz="10" w:space="0" w:color="000000"/>
            </w:tcBorders>
            <w:shd w:fill="FFFFFF" w:val="clear"/>
            <w:tcMar>
              <w:bottom w:w="28" w:type="dxa"/>
            </w:tcMar>
            <w:vAlign w:val="center"/>
          </w:tcPr>
          <w:p>
            <w:pPr>
              <w:pStyle w:val="TableContents"/>
              <w:bidi w:val="0"/>
              <w:spacing w:before="0" w:after="283"/>
              <w:jc w:val="right"/>
              <w:rPr/>
            </w:pPr>
            <w:r>
              <w:rPr/>
              <w:t>70,061,338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100,000,000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14" w:type="dxa"/>
            <w:tcBorders>
              <w:bottom w:val="double" w:sz="10" w:space="0" w:color="000000"/>
            </w:tcBorders>
            <w:shd w:fill="FFFFFF" w:val="clear"/>
            <w:tcMar>
              <w:bottom w:w="28" w:type="dxa"/>
            </w:tcMar>
            <w:vAlign w:val="center"/>
          </w:tcPr>
          <w:p>
            <w:pPr>
              <w:pStyle w:val="TableContents"/>
              <w:bidi w:val="0"/>
              <w:spacing w:before="0" w:after="283"/>
              <w:jc w:val="right"/>
              <w:rPr/>
            </w:pPr>
            <w:r>
              <w:rPr/>
              <w:t>69,590,228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IMAGING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CONDENSED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there were 1,473,154 ordinary shares reserved for the equity incentive plan. The Company’s board of directors also approved the Plan for the purpose of selecting the capital gains tax track, under Section 102 of the Israeli Income Tax Ordinance, for options granted to the Company’s Israeli employees.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2025, the Company issued 116,226 ordinary shares in connection with the asset acquisition of MDWEB LLC, originally completed in 2021. The shares were issued following the achievement of certain milestones in 2023, at which time the corresponding earn-out contingent liability was reclassified to equity.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11, 2025, the Company received a letter from a shareholder detailing certain purported concerns and allegations relating to representations made during negotiations regarding a certain asset transaction. On April 19, 2026, the Company entered into a settlement agreement with that shareholder, pursuant to which the alleging shareholder, on its own behalf and on behalf of its shareholders, fully released the Company from any and all claims, including those mentioned in the shareholder’s letter, claims relating to the asset transaction, and claims relating to the Company’s relationship with the shareholder and its affiliates and shareholders. In return for the release, and without admission of any liability, the Company issued the shareholder 450,000 ordinary shares on May 1, 2026. As of December 31,2025, the Company has accrued an amount of $1,260 thousand in connection with the above- mentioned complaint. In the six months ended June 30, 2026, the Company recorded income of $482 thousand, due to the change in fair value of the accrual, which was included in other expenses (income), net in the consolidated statements of operations and comprehensive loss.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Share-based compensation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5, 2026, the Company granted certain employees, service providers and officers a total of 1,026,235 restricted share units (“RSUs”) under two different vesting schedules: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940,706 RSUs vest as follows: 50% on the first anniversary and 50% on the second anniversary from the “Vesting Start Date” as defined in the grant agreement. Included in the awards are 250,002 RSUs that were granted to certain officers of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85,529 RSUs vest as follows: 25% on the first anniversary from the “Vesting Start Date” as defined in the grant agreement and remainder vest ratably over the following 12 quarters.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23, 2026, the Company granted certain employees a total of 46,358 RSUs that vest as follows: 25% on the first anniversary from the “Vesting Start Date” as defined in the grant agreement; and the remainder vest ratably over the following 12 quarters.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of the above RSUs was approximately $2,410 thousand.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SEGMENTS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chief operating decision maker is the Company’s Chief Executive Officer (the “CODM”), who makes resource allocation decisions and assesses performance based on financial information prepared on a consolidated basis, accompanied by disaggregated information about revenues, gross profit (loss) and operating loss by the three identified reportable segments.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uses gross profit (loss) and operating loss for each segment predominantly in the annual budget and forecasting process. The CODM considers budget-to-actual variances on a quarterly basis for all measures when making decisions about the allocation of operating and capital resources to each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reports segment information based on the “management” approach. The management approach designates the internal reporting used by management for making decisions and assessing performance as the source of the Company’s reportable operating segments. The Company manages its business primarily on a service basis. The Company’s reportable segments consist of the Nanox.ARC division, the radiology services division and the AI and software solutions division. Each one is managed separately to better align with the Company’s customers and distribution partners and the unique market dynamics of each segment. Operating loss for each segment includes revenues from third parties, related cost of revenues and operating expenses directly attributable to the segment. The Company does not include intercompany transfers between segments for management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Nanox health IT Inc.’s operational results are included in the AI and software solutions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IMAGING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CONDENSED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policies of the various segments are the same as those described in Note 2, “Summary of Significant Accounting Policies” in the Annual Report.</w:t>
      </w:r>
    </w:p>
    <w:p>
      <w:pPr>
        <w:pStyle w:val="TextBody"/>
        <w:bidi w:val="0"/>
        <w:spacing w:before="0" w:after="0"/>
        <w:ind w:left="0" w:right="0" w:hanging="0"/>
        <w:jc w:val="both"/>
        <w:rPr>
          <w:caps w:val="false"/>
          <w:smallCaps w:val="false"/>
        </w:rPr>
      </w:pPr>
      <w:r>
        <w:rPr>
          <w:caps w:val="false"/>
          <w:smallCaps w:val="false"/>
        </w:rPr>
        <w:t> </w:t>
      </w:r>
    </w:p>
    <w:tbl>
      <w:tblPr>
        <w:tblW w:w="9789" w:type="dxa"/>
        <w:jc w:val="left"/>
        <w:tblInd w:w="0" w:type="dxa"/>
        <w:tblLayout w:type="fixed"/>
        <w:tblCellMar>
          <w:top w:w="0" w:type="dxa"/>
          <w:left w:w="0" w:type="dxa"/>
          <w:bottom w:w="0" w:type="dxa"/>
          <w:right w:w="0" w:type="dxa"/>
        </w:tblCellMar>
      </w:tblPr>
      <w:tblGrid>
        <w:gridCol w:w="4790"/>
        <w:gridCol w:w="60"/>
        <w:gridCol w:w="60"/>
        <w:gridCol w:w="755"/>
        <w:gridCol w:w="95"/>
        <w:gridCol w:w="60"/>
        <w:gridCol w:w="85"/>
        <w:gridCol w:w="970"/>
        <w:gridCol w:w="60"/>
        <w:gridCol w:w="60"/>
        <w:gridCol w:w="108"/>
        <w:gridCol w:w="1606"/>
        <w:gridCol w:w="95"/>
        <w:gridCol w:w="60"/>
        <w:gridCol w:w="60"/>
        <w:gridCol w:w="755"/>
        <w:gridCol w:w="110"/>
      </w:tblGrid>
      <w:tr>
        <w:trPr/>
        <w:tc>
          <w:tcPr>
            <w:tcW w:w="47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829"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Six months ended June 30, 2026</w:t>
            </w:r>
          </w:p>
        </w:tc>
        <w:tc>
          <w:tcPr>
            <w:tcW w:w="110" w:type="dxa"/>
            <w:tcBorders/>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Nanox. </w:t>
              <w:br/>
              <w:t>ARC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Radiology</w:t>
              <w:br/>
              <w:t>Services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4" w:type="dxa"/>
            <w:gridSpan w:val="2"/>
            <w:tcBorders>
              <w:bottom w:val="single" w:sz="12" w:space="0" w:color="000000"/>
            </w:tcBorders>
            <w:tcMar>
              <w:bottom w:w="28" w:type="dxa"/>
            </w:tcMar>
            <w:vAlign w:val="center"/>
          </w:tcPr>
          <w:p>
            <w:pPr>
              <w:pStyle w:val="TableContents"/>
              <w:bidi w:val="0"/>
              <w:spacing w:before="0" w:after="283"/>
              <w:jc w:val="center"/>
              <w:rPr/>
            </w:pPr>
            <w:r>
              <w:rPr>
                <w:b/>
              </w:rPr>
              <w:t>AI and</w:t>
            </w:r>
            <w:r>
              <w:rPr/>
              <w:t xml:space="preserve"> </w:t>
            </w:r>
            <w:r>
              <w:rPr>
                <w:b/>
              </w:rPr>
              <w:t>Software</w:t>
              <w:br/>
              <w:t>Solutions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6,055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right"/>
              <w:rPr/>
            </w:pPr>
            <w:r>
              <w:rPr/>
              <w:t>(*) 2,083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8,467</w:t>
            </w:r>
          </w:p>
        </w:tc>
        <w:tc>
          <w:tcPr>
            <w:tcW w:w="11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3,713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4,785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right"/>
              <w:rPr/>
            </w:pPr>
            <w:r>
              <w:rPr/>
              <w:t>5,536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14,034</w:t>
            </w:r>
          </w:p>
        </w:tc>
        <w:tc>
          <w:tcPr>
            <w:tcW w:w="11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pPr>
            <w:r>
              <w:rPr/>
              <w:t>Cost of revenues – Impairment of intangible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right"/>
              <w:rPr/>
            </w:pPr>
            <w:r>
              <w:rPr/>
              <w:t>40,695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40,695</w:t>
            </w:r>
          </w:p>
        </w:tc>
        <w:tc>
          <w:tcPr>
            <w:tcW w:w="11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pPr>
            <w:r>
              <w:rPr/>
              <w:t>Segment gross profit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(3,384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1,270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right"/>
              <w:rPr/>
            </w:pPr>
            <w:r>
              <w:rPr/>
              <w:t>(44,148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(46,262</w:t>
            </w:r>
          </w:p>
        </w:tc>
        <w:tc>
          <w:tcPr>
            <w:tcW w:w="110" w:type="dxa"/>
            <w:tcBorders/>
            <w:shd w:fill="FFFFFF" w:val="clear"/>
            <w:vAlign w:val="center"/>
          </w:tcPr>
          <w:p>
            <w:pPr>
              <w:pStyle w:val="TableContents"/>
              <w:bidi w:val="0"/>
              <w:spacing w:before="0" w:after="283"/>
              <w:jc w:val="left"/>
              <w:rPr/>
            </w:pPr>
            <w:r>
              <w:rPr/>
              <w:t>)</w:t>
            </w:r>
          </w:p>
        </w:tc>
      </w:tr>
      <w:tr>
        <w:trPr/>
        <w:tc>
          <w:tcPr>
            <w:tcW w:w="4790" w:type="dxa"/>
            <w:tcBorders/>
            <w:shd w:fill="CCEEFF" w:val="clear"/>
            <w:vAlign w:val="center"/>
          </w:tcPr>
          <w:p>
            <w:pPr>
              <w:pStyle w:val="TableContents"/>
              <w:bidi w:val="0"/>
              <w:spacing w:before="0" w:after="283"/>
              <w:jc w:val="left"/>
              <w:rPr/>
            </w:pPr>
            <w:r>
              <w:rPr/>
              <w:t>Research and development,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7,253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right"/>
              <w:rPr/>
            </w:pPr>
            <w:r>
              <w:rPr/>
              <w:t>2,188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9,505</w:t>
            </w:r>
          </w:p>
        </w:tc>
        <w:tc>
          <w:tcPr>
            <w:tcW w:w="11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3,175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265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right"/>
              <w:rPr/>
            </w:pPr>
            <w:r>
              <w:rPr/>
              <w:t>624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4,064</w:t>
            </w:r>
          </w:p>
        </w:tc>
        <w:tc>
          <w:tcPr>
            <w:tcW w:w="11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9,037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919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right"/>
              <w:rPr/>
            </w:pPr>
            <w:r>
              <w:rPr/>
              <w:t>728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10,684</w:t>
            </w:r>
          </w:p>
        </w:tc>
        <w:tc>
          <w:tcPr>
            <w:tcW w:w="11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pPr>
            <w:r>
              <w:rPr/>
              <w:t>Other segment items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right"/>
              <w:rPr/>
            </w:pPr>
            <w:r>
              <w:rPr/>
              <w:t>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(480</w:t>
            </w:r>
          </w:p>
        </w:tc>
        <w:tc>
          <w:tcPr>
            <w:tcW w:w="110" w:type="dxa"/>
            <w:tcBorders/>
            <w:shd w:fill="FFFFFF" w:val="clear"/>
            <w:vAlign w:val="center"/>
          </w:tcPr>
          <w:p>
            <w:pPr>
              <w:pStyle w:val="TableContents"/>
              <w:bidi w:val="0"/>
              <w:spacing w:before="0" w:after="283"/>
              <w:jc w:val="left"/>
              <w:rPr/>
            </w:pPr>
            <w:r>
              <w:rPr/>
              <w:t>)</w:t>
            </w:r>
          </w:p>
        </w:tc>
      </w:tr>
      <w:tr>
        <w:trPr/>
        <w:tc>
          <w:tcPr>
            <w:tcW w:w="4790" w:type="dxa"/>
            <w:tcBorders/>
            <w:shd w:fill="CCEEFF" w:val="clear"/>
            <w:vAlign w:val="center"/>
          </w:tcPr>
          <w:p>
            <w:pPr>
              <w:pStyle w:val="TableContents"/>
              <w:bidi w:val="0"/>
              <w:spacing w:before="0" w:after="283"/>
              <w:jc w:val="left"/>
              <w:rPr/>
            </w:pPr>
            <w:r>
              <w:rPr/>
              <w:t>Segment operating profit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(22,342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right"/>
              <w:rPr/>
            </w:pPr>
            <w:r>
              <w:rPr/>
              <w:t>(47,715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(70,035</w:t>
            </w:r>
          </w:p>
        </w:tc>
        <w:tc>
          <w:tcPr>
            <w:tcW w:w="110" w:type="dxa"/>
            <w:tcBorders/>
            <w:shd w:fill="CCEEFF" w:val="clear"/>
            <w:vAlign w:val="center"/>
          </w:tcPr>
          <w:p>
            <w:pPr>
              <w:pStyle w:val="TableContents"/>
              <w:bidi w:val="0"/>
              <w:spacing w:before="0" w:after="283"/>
              <w:jc w:val="left"/>
              <w:rPr/>
            </w:pPr>
            <w:r>
              <w:rPr/>
              <w:t>)</w:t>
            </w:r>
          </w:p>
        </w:tc>
      </w:tr>
      <w:tr>
        <w:trPr/>
        <w:tc>
          <w:tcPr>
            <w:tcW w:w="4790" w:type="dxa"/>
            <w:tcBorders/>
            <w:shd w:fill="FFFFFF" w:val="clear"/>
            <w:vAlign w:val="center"/>
          </w:tcPr>
          <w:p>
            <w:pPr>
              <w:pStyle w:val="TableContents"/>
              <w:bidi w:val="0"/>
              <w:spacing w:before="0" w:after="283"/>
              <w:jc w:val="left"/>
              <w:rPr/>
            </w:pPr>
            <w:r>
              <w:rPr/>
              <w:t>Financial income (expense),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308</w:t>
            </w:r>
          </w:p>
        </w:tc>
        <w:tc>
          <w:tcPr>
            <w:tcW w:w="11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pPr>
            <w:r>
              <w:rPr/>
              <w:t>Loss before taxes on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(69,727</w:t>
            </w:r>
          </w:p>
        </w:tc>
        <w:tc>
          <w:tcPr>
            <w:tcW w:w="110" w:type="dxa"/>
            <w:tcBorders/>
            <w:shd w:fill="CCEEFF" w:val="clear"/>
            <w:vAlign w:val="center"/>
          </w:tcPr>
          <w:p>
            <w:pPr>
              <w:pStyle w:val="TableContents"/>
              <w:bidi w:val="0"/>
              <w:spacing w:before="0" w:after="283"/>
              <w:jc w:val="left"/>
              <w:rPr/>
            </w:pPr>
            <w:r>
              <w:rPr/>
              <w:t>)</w:t>
            </w:r>
          </w:p>
        </w:tc>
      </w:tr>
      <w:tr>
        <w:trPr/>
        <w:tc>
          <w:tcPr>
            <w:tcW w:w="4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pPr>
            <w:r>
              <w:rPr/>
              <w:t>Depreciation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right"/>
              <w:rPr/>
            </w:pPr>
            <w:r>
              <w:rPr/>
              <w:t>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629</w:t>
            </w:r>
          </w:p>
        </w:tc>
        <w:tc>
          <w:tcPr>
            <w:tcW w:w="11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pPr>
            <w:r>
              <w:rPr/>
              <w:t>Amortization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990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right"/>
              <w:rPr/>
            </w:pPr>
            <w:r>
              <w:rPr/>
              <w:t>4,019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5,009</w:t>
            </w:r>
          </w:p>
        </w:tc>
        <w:tc>
          <w:tcPr>
            <w:tcW w:w="11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302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right"/>
              <w:rPr/>
            </w:pPr>
            <w:r>
              <w:rPr/>
              <w:t>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1,710</w:t>
            </w:r>
          </w:p>
        </w:tc>
        <w:tc>
          <w:tcPr>
            <w:tcW w:w="11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67,551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19,174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right"/>
              <w:rPr/>
            </w:pPr>
            <w:r>
              <w:rPr/>
              <w:t>4,460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91,185</w:t>
            </w:r>
          </w:p>
        </w:tc>
        <w:tc>
          <w:tcPr>
            <w:tcW w:w="11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pPr>
            <w:r>
              <w:rPr/>
              <w:t>Expenditures for segment’s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2,761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2,761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305"/>
        <w:gridCol w:w="5600"/>
      </w:tblGrid>
      <w:tr>
        <w:trPr/>
        <w:tc>
          <w:tcPr>
            <w:tcW w:w="305"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both"/>
              <w:rPr/>
            </w:pPr>
            <w:r>
              <w:rPr/>
              <w:t>Including $1,844 thousand related to Nanox Health IT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0"/>
        <w:gridCol w:w="9795"/>
      </w:tblGrid>
      <w:tr>
        <w:trPr/>
        <w:tc>
          <w:tcPr>
            <w:tcW w:w="410" w:type="dxa"/>
            <w:tcBorders/>
            <w:vAlign w:val="center"/>
          </w:tcPr>
          <w:p>
            <w:pPr>
              <w:pStyle w:val="TableContents"/>
              <w:bidi w:val="0"/>
              <w:spacing w:before="0" w:after="283"/>
              <w:jc w:val="left"/>
              <w:rPr/>
            </w:pPr>
            <w:r>
              <w:rPr/>
              <w:t>(**)</w:t>
            </w:r>
          </w:p>
        </w:tc>
        <w:tc>
          <w:tcPr>
            <w:tcW w:w="979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Nanox.ARC - loss from disposal of property and equipment, rent income and remeasurement of a settlement with a shareholder.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 and Software Solutions - change in the fair value of earn out liability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IMAGING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CONDENSED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both"/>
        <w:rPr>
          <w:caps w:val="false"/>
          <w:smallCaps w:val="false"/>
        </w:rPr>
      </w:pPr>
      <w:r>
        <w:rPr>
          <w:caps w:val="false"/>
          <w:smallCaps w:val="false"/>
        </w:rPr>
        <w:t> </w:t>
      </w:r>
    </w:p>
    <w:tbl>
      <w:tblPr>
        <w:tblW w:w="7575" w:type="dxa"/>
        <w:jc w:val="left"/>
        <w:tblInd w:w="0" w:type="dxa"/>
        <w:tblLayout w:type="fixed"/>
        <w:tblCellMar>
          <w:top w:w="0" w:type="dxa"/>
          <w:left w:w="0" w:type="dxa"/>
          <w:bottom w:w="0" w:type="dxa"/>
          <w:right w:w="0" w:type="dxa"/>
        </w:tblCellMar>
      </w:tblPr>
      <w:tblGrid>
        <w:gridCol w:w="3215"/>
        <w:gridCol w:w="60"/>
        <w:gridCol w:w="60"/>
        <w:gridCol w:w="800"/>
        <w:gridCol w:w="95"/>
        <w:gridCol w:w="60"/>
        <w:gridCol w:w="85"/>
        <w:gridCol w:w="970"/>
        <w:gridCol w:w="95"/>
        <w:gridCol w:w="60"/>
        <w:gridCol w:w="77"/>
        <w:gridCol w:w="873"/>
        <w:gridCol w:w="95"/>
        <w:gridCol w:w="60"/>
        <w:gridCol w:w="60"/>
        <w:gridCol w:w="800"/>
        <w:gridCol w:w="110"/>
      </w:tblGrid>
      <w:tr>
        <w:trPr/>
        <w:tc>
          <w:tcPr>
            <w:tcW w:w="3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19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Six months ended June 30, 2025</w:t>
            </w:r>
          </w:p>
        </w:tc>
        <w:tc>
          <w:tcPr>
            <w:tcW w:w="11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Nanox. </w:t>
              <w:br/>
              <w:t>ARC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Radiology</w:t>
              <w:br/>
              <w:t>Services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AI and</w:t>
              <w:br/>
              <w:t>Software</w:t>
              <w:br/>
              <w:t>Solutions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5,328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273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5,855</w:t>
            </w:r>
          </w:p>
        </w:tc>
        <w:tc>
          <w:tcPr>
            <w:tcW w:w="11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3,570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4,402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4,172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12,144</w:t>
            </w:r>
          </w:p>
        </w:tc>
        <w:tc>
          <w:tcPr>
            <w:tcW w:w="11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Segment gross profit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(3,316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926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(3,899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(6,289</w:t>
            </w:r>
          </w:p>
        </w:tc>
        <w:tc>
          <w:tcPr>
            <w:tcW w:w="110" w:type="dxa"/>
            <w:tcBorders/>
            <w:shd w:fill="CCEEFF" w:val="clear"/>
            <w:vAlign w:val="center"/>
          </w:tcPr>
          <w:p>
            <w:pPr>
              <w:pStyle w:val="TableContents"/>
              <w:bidi w:val="0"/>
              <w:spacing w:before="0" w:after="283"/>
              <w:jc w:val="left"/>
              <w:rPr/>
            </w:pPr>
            <w:r>
              <w:rPr/>
              <w:t>)</w:t>
            </w:r>
          </w:p>
        </w:tc>
      </w:tr>
      <w:tr>
        <w:trPr/>
        <w:tc>
          <w:tcPr>
            <w:tcW w:w="3215" w:type="dxa"/>
            <w:tcBorders/>
            <w:shd w:fill="FFFFFF" w:val="clear"/>
            <w:vAlign w:val="center"/>
          </w:tcPr>
          <w:p>
            <w:pPr>
              <w:pStyle w:val="TableContents"/>
              <w:bidi w:val="0"/>
              <w:spacing w:before="0" w:after="283"/>
              <w:jc w:val="left"/>
              <w:rPr/>
            </w:pPr>
            <w:r>
              <w:rPr/>
              <w:t>Research and development,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7,546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2,201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9,812</w:t>
            </w:r>
          </w:p>
        </w:tc>
        <w:tc>
          <w:tcPr>
            <w:tcW w:w="11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208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2,178</w:t>
            </w:r>
          </w:p>
        </w:tc>
        <w:tc>
          <w:tcPr>
            <w:tcW w:w="11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8,522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1,606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10,265</w:t>
            </w:r>
          </w:p>
        </w:tc>
        <w:tc>
          <w:tcPr>
            <w:tcW w:w="11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Other segment items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37</w:t>
            </w:r>
          </w:p>
        </w:tc>
        <w:tc>
          <w:tcPr>
            <w:tcW w:w="11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Segment operating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(21,306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(953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(6,322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(28,581</w:t>
            </w:r>
          </w:p>
        </w:tc>
        <w:tc>
          <w:tcPr>
            <w:tcW w:w="110" w:type="dxa"/>
            <w:tcBorders/>
            <w:shd w:fill="FFFFFF" w:val="clear"/>
            <w:vAlign w:val="center"/>
          </w:tcPr>
          <w:p>
            <w:pPr>
              <w:pStyle w:val="TableContents"/>
              <w:bidi w:val="0"/>
              <w:spacing w:before="0" w:after="283"/>
              <w:jc w:val="left"/>
              <w:rPr/>
            </w:pPr>
            <w:r>
              <w:rPr/>
              <w:t>)</w:t>
            </w:r>
          </w:p>
        </w:tc>
      </w:tr>
      <w:tr>
        <w:trPr/>
        <w:tc>
          <w:tcPr>
            <w:tcW w:w="3215" w:type="dxa"/>
            <w:tcBorders/>
            <w:shd w:fill="CCEEFF" w:val="clear"/>
            <w:vAlign w:val="center"/>
          </w:tcPr>
          <w:p>
            <w:pPr>
              <w:pStyle w:val="TableContents"/>
              <w:bidi w:val="0"/>
              <w:spacing w:before="0" w:after="283"/>
              <w:jc w:val="left"/>
              <w:rPr/>
            </w:pPr>
            <w:r>
              <w:rPr/>
              <w:t>Financial income (expense),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616</w:t>
            </w:r>
          </w:p>
        </w:tc>
        <w:tc>
          <w:tcPr>
            <w:tcW w:w="11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Loss before taxes on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(27,965</w:t>
            </w:r>
          </w:p>
        </w:tc>
        <w:tc>
          <w:tcPr>
            <w:tcW w:w="110" w:type="dxa"/>
            <w:tcBorders/>
            <w:shd w:fill="FFFFFF" w:val="clear"/>
            <w:vAlign w:val="center"/>
          </w:tcPr>
          <w:p>
            <w:pPr>
              <w:pStyle w:val="TableContents"/>
              <w:bidi w:val="0"/>
              <w:spacing w:before="0" w:after="283"/>
              <w:jc w:val="left"/>
              <w:rPr/>
            </w:pPr>
            <w:r>
              <w:rPr/>
              <w:t>)</w:t>
            </w:r>
          </w:p>
        </w:tc>
      </w:tr>
      <w:tr>
        <w:trPr/>
        <w:tc>
          <w:tcPr>
            <w:tcW w:w="3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Depreciation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586</w:t>
            </w:r>
          </w:p>
        </w:tc>
        <w:tc>
          <w:tcPr>
            <w:tcW w:w="11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Amortization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1,314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3,992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5,306</w:t>
            </w:r>
          </w:p>
        </w:tc>
        <w:tc>
          <w:tcPr>
            <w:tcW w:w="11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Stock 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370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2,277</w:t>
            </w:r>
          </w:p>
        </w:tc>
        <w:tc>
          <w:tcPr>
            <w:tcW w:w="11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111,972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18,774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pPr>
            <w:r>
              <w:rPr/>
              <w:t>53,486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184,232</w:t>
            </w:r>
          </w:p>
        </w:tc>
        <w:tc>
          <w:tcPr>
            <w:tcW w:w="11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Expenditures for segment’s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1,579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305"/>
        <w:gridCol w:w="7385"/>
      </w:tblGrid>
      <w:tr>
        <w:trPr/>
        <w:tc>
          <w:tcPr>
            <w:tcW w:w="305"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283"/>
              <w:jc w:val="both"/>
              <w:rPr/>
            </w:pPr>
            <w:r>
              <w:rPr/>
              <w:t>Nanox.ARC – loss from disposal of property and equipment and rent income.</w:t>
            </w:r>
          </w:p>
        </w:tc>
      </w:tr>
    </w:tbl>
    <w:p>
      <w:pPr>
        <w:pStyle w:val="TextBody"/>
        <w:bidi w:val="0"/>
        <w:spacing w:before="0" w:after="0"/>
        <w:ind w:left="0" w:right="0" w:hanging="0"/>
        <w:jc w:val="both"/>
        <w:rPr>
          <w:caps w:val="false"/>
          <w:smallCaps w:val="false"/>
        </w:rPr>
      </w:pPr>
      <w:r>
        <w:rPr>
          <w:caps w:val="false"/>
          <w:smallCaps w:val="false"/>
        </w:rPr>
        <w:t> </w:t>
      </w:r>
    </w:p>
    <w:tbl>
      <w:tblPr>
        <w:tblW w:w="9789" w:type="dxa"/>
        <w:jc w:val="left"/>
        <w:tblInd w:w="0" w:type="dxa"/>
        <w:tblLayout w:type="fixed"/>
        <w:tblCellMar>
          <w:top w:w="0" w:type="dxa"/>
          <w:left w:w="0" w:type="dxa"/>
          <w:bottom w:w="0" w:type="dxa"/>
          <w:right w:w="0" w:type="dxa"/>
        </w:tblCellMar>
      </w:tblPr>
      <w:tblGrid>
        <w:gridCol w:w="4790"/>
        <w:gridCol w:w="60"/>
        <w:gridCol w:w="60"/>
        <w:gridCol w:w="755"/>
        <w:gridCol w:w="95"/>
        <w:gridCol w:w="60"/>
        <w:gridCol w:w="102"/>
        <w:gridCol w:w="953"/>
        <w:gridCol w:w="60"/>
        <w:gridCol w:w="60"/>
        <w:gridCol w:w="108"/>
        <w:gridCol w:w="1606"/>
        <w:gridCol w:w="95"/>
        <w:gridCol w:w="60"/>
        <w:gridCol w:w="60"/>
        <w:gridCol w:w="755"/>
        <w:gridCol w:w="110"/>
      </w:tblGrid>
      <w:tr>
        <w:trPr/>
        <w:tc>
          <w:tcPr>
            <w:tcW w:w="47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829"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Three months ended June 30, 2026</w:t>
            </w:r>
          </w:p>
        </w:tc>
        <w:tc>
          <w:tcPr>
            <w:tcW w:w="110" w:type="dxa"/>
            <w:tcBorders/>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Nanox. </w:t>
              <w:br/>
              <w:t>ARC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Radiology</w:t>
              <w:br/>
              <w:t>Services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4" w:type="dxa"/>
            <w:gridSpan w:val="2"/>
            <w:tcBorders>
              <w:bottom w:val="single" w:sz="12" w:space="0" w:color="000000"/>
            </w:tcBorders>
            <w:tcMar>
              <w:bottom w:w="28" w:type="dxa"/>
            </w:tcMar>
            <w:vAlign w:val="center"/>
          </w:tcPr>
          <w:p>
            <w:pPr>
              <w:pStyle w:val="TableContents"/>
              <w:bidi w:val="0"/>
              <w:spacing w:before="0" w:after="283"/>
              <w:jc w:val="center"/>
              <w:rPr/>
            </w:pPr>
            <w:r>
              <w:rPr>
                <w:b/>
              </w:rPr>
              <w:t>AI and</w:t>
            </w:r>
            <w:r>
              <w:rPr/>
              <w:t xml:space="preserve"> </w:t>
            </w:r>
            <w:r>
              <w:rPr>
                <w:b/>
              </w:rPr>
              <w:t>Software</w:t>
              <w:br/>
              <w:t>Solutions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2,950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right"/>
              <w:rPr/>
            </w:pPr>
            <w:r>
              <w:rPr/>
              <w:t>(*) 1,044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4,156</w:t>
            </w:r>
          </w:p>
        </w:tc>
        <w:tc>
          <w:tcPr>
            <w:tcW w:w="11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2,077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right"/>
              <w:rPr/>
            </w:pPr>
            <w:r>
              <w:rPr/>
              <w:t>3,110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7,135</w:t>
            </w:r>
          </w:p>
        </w:tc>
        <w:tc>
          <w:tcPr>
            <w:tcW w:w="11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pPr>
            <w:r>
              <w:rPr/>
              <w:t>Cost of revenues – Impairment of intangible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right"/>
              <w:rPr/>
            </w:pPr>
            <w:r>
              <w:rPr/>
              <w:t>40,695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40,695</w:t>
            </w:r>
          </w:p>
        </w:tc>
        <w:tc>
          <w:tcPr>
            <w:tcW w:w="11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pPr>
            <w:r>
              <w:rPr/>
              <w:t>Segment gross profit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873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right"/>
              <w:rPr/>
            </w:pPr>
            <w:r>
              <w:rPr/>
              <w:t>(42,761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(43,674</w:t>
            </w:r>
          </w:p>
        </w:tc>
        <w:tc>
          <w:tcPr>
            <w:tcW w:w="110" w:type="dxa"/>
            <w:tcBorders/>
            <w:shd w:fill="FFFFFF" w:val="clear"/>
            <w:vAlign w:val="center"/>
          </w:tcPr>
          <w:p>
            <w:pPr>
              <w:pStyle w:val="TableContents"/>
              <w:bidi w:val="0"/>
              <w:spacing w:before="0" w:after="283"/>
              <w:jc w:val="left"/>
              <w:rPr/>
            </w:pPr>
            <w:r>
              <w:rPr/>
              <w:t>)</w:t>
            </w:r>
          </w:p>
        </w:tc>
      </w:tr>
      <w:tr>
        <w:trPr/>
        <w:tc>
          <w:tcPr>
            <w:tcW w:w="4790" w:type="dxa"/>
            <w:tcBorders/>
            <w:shd w:fill="CCEEFF" w:val="clear"/>
            <w:vAlign w:val="center"/>
          </w:tcPr>
          <w:p>
            <w:pPr>
              <w:pStyle w:val="TableContents"/>
              <w:bidi w:val="0"/>
              <w:spacing w:before="0" w:after="283"/>
              <w:jc w:val="left"/>
              <w:rPr/>
            </w:pPr>
            <w:r>
              <w:rPr/>
              <w:t>Research and development,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right"/>
              <w:rPr/>
            </w:pPr>
            <w:r>
              <w:rPr/>
              <w:t>1,114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4,707</w:t>
            </w:r>
          </w:p>
        </w:tc>
        <w:tc>
          <w:tcPr>
            <w:tcW w:w="11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right"/>
              <w:rPr/>
            </w:pPr>
            <w:r>
              <w:rPr/>
              <w:t>399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1,900</w:t>
            </w:r>
          </w:p>
        </w:tc>
        <w:tc>
          <w:tcPr>
            <w:tcW w:w="11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4,563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458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right"/>
              <w:rPr/>
            </w:pPr>
            <w:r>
              <w:rPr/>
              <w:t>423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5,444</w:t>
            </w:r>
          </w:p>
        </w:tc>
        <w:tc>
          <w:tcPr>
            <w:tcW w:w="11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pPr>
            <w:r>
              <w:rPr/>
              <w:t>Other segment items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(248</w:t>
            </w:r>
          </w:p>
        </w:tc>
        <w:tc>
          <w:tcPr>
            <w:tcW w:w="110" w:type="dxa"/>
            <w:tcBorders/>
            <w:shd w:fill="FFFFFF" w:val="clear"/>
            <w:vAlign w:val="center"/>
          </w:tcPr>
          <w:p>
            <w:pPr>
              <w:pStyle w:val="TableContents"/>
              <w:bidi w:val="0"/>
              <w:spacing w:before="0" w:after="283"/>
              <w:jc w:val="left"/>
              <w:rPr/>
            </w:pPr>
            <w:r>
              <w:rPr/>
              <w:t>)</w:t>
            </w:r>
          </w:p>
        </w:tc>
      </w:tr>
      <w:tr>
        <w:trPr/>
        <w:tc>
          <w:tcPr>
            <w:tcW w:w="4790" w:type="dxa"/>
            <w:tcBorders/>
            <w:shd w:fill="CCEEFF" w:val="clear"/>
            <w:vAlign w:val="center"/>
          </w:tcPr>
          <w:p>
            <w:pPr>
              <w:pStyle w:val="TableContents"/>
              <w:bidi w:val="0"/>
              <w:spacing w:before="0" w:after="283"/>
              <w:jc w:val="left"/>
              <w:rPr/>
            </w:pPr>
            <w:r>
              <w:rPr/>
              <w:t>Segment operating profit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(11,112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right"/>
              <w:rPr/>
            </w:pPr>
            <w:r>
              <w:rPr/>
              <w:t>(44,696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(55,477</w:t>
            </w:r>
          </w:p>
        </w:tc>
        <w:tc>
          <w:tcPr>
            <w:tcW w:w="110" w:type="dxa"/>
            <w:tcBorders/>
            <w:shd w:fill="CCEEFF" w:val="clear"/>
            <w:vAlign w:val="center"/>
          </w:tcPr>
          <w:p>
            <w:pPr>
              <w:pStyle w:val="TableContents"/>
              <w:bidi w:val="0"/>
              <w:spacing w:before="0" w:after="283"/>
              <w:jc w:val="left"/>
              <w:rPr/>
            </w:pPr>
            <w:r>
              <w:rPr/>
              <w:t>)</w:t>
            </w:r>
          </w:p>
        </w:tc>
      </w:tr>
      <w:tr>
        <w:trPr/>
        <w:tc>
          <w:tcPr>
            <w:tcW w:w="4790" w:type="dxa"/>
            <w:tcBorders/>
            <w:shd w:fill="FFFFFF" w:val="clear"/>
            <w:vAlign w:val="center"/>
          </w:tcPr>
          <w:p>
            <w:pPr>
              <w:pStyle w:val="TableContents"/>
              <w:bidi w:val="0"/>
              <w:spacing w:before="0" w:after="283"/>
              <w:jc w:val="left"/>
              <w:rPr/>
            </w:pPr>
            <w:r>
              <w:rPr/>
              <w:t>Financial income (expense),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(61</w:t>
            </w:r>
          </w:p>
        </w:tc>
        <w:tc>
          <w:tcPr>
            <w:tcW w:w="110" w:type="dxa"/>
            <w:tcBorders/>
            <w:shd w:fill="FFFFFF" w:val="clear"/>
            <w:vAlign w:val="center"/>
          </w:tcPr>
          <w:p>
            <w:pPr>
              <w:pStyle w:val="TableContents"/>
              <w:bidi w:val="0"/>
              <w:spacing w:before="0" w:after="283"/>
              <w:jc w:val="left"/>
              <w:rPr/>
            </w:pPr>
            <w:r>
              <w:rPr/>
              <w:t>)</w:t>
            </w:r>
          </w:p>
        </w:tc>
      </w:tr>
      <w:tr>
        <w:trPr/>
        <w:tc>
          <w:tcPr>
            <w:tcW w:w="4790" w:type="dxa"/>
            <w:tcBorders/>
            <w:shd w:fill="CCEEFF" w:val="clear"/>
            <w:vAlign w:val="center"/>
          </w:tcPr>
          <w:p>
            <w:pPr>
              <w:pStyle w:val="TableContents"/>
              <w:bidi w:val="0"/>
              <w:spacing w:before="0" w:after="283"/>
              <w:jc w:val="left"/>
              <w:rPr/>
            </w:pPr>
            <w:r>
              <w:rPr/>
              <w:t>Loss before taxes on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(55,538</w:t>
            </w:r>
          </w:p>
        </w:tc>
        <w:tc>
          <w:tcPr>
            <w:tcW w:w="110" w:type="dxa"/>
            <w:tcBorders/>
            <w:shd w:fill="CCEEFF" w:val="clear"/>
            <w:vAlign w:val="center"/>
          </w:tcPr>
          <w:p>
            <w:pPr>
              <w:pStyle w:val="TableContents"/>
              <w:bidi w:val="0"/>
              <w:spacing w:before="0" w:after="283"/>
              <w:jc w:val="left"/>
              <w:rPr/>
            </w:pPr>
            <w:r>
              <w:rPr/>
              <w:t>)</w:t>
            </w:r>
          </w:p>
        </w:tc>
      </w:tr>
      <w:tr>
        <w:trPr/>
        <w:tc>
          <w:tcPr>
            <w:tcW w:w="4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pPr>
            <w:r>
              <w:rPr/>
              <w:t>Depreciation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right"/>
              <w:rPr/>
            </w:pPr>
            <w:r>
              <w:rPr/>
              <w:t>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314</w:t>
            </w:r>
          </w:p>
        </w:tc>
        <w:tc>
          <w:tcPr>
            <w:tcW w:w="11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pPr>
            <w:r>
              <w:rPr/>
              <w:t>Amortization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495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right"/>
              <w:rPr/>
            </w:pPr>
            <w:r>
              <w:rPr/>
              <w:t>2,009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2,505</w:t>
            </w:r>
          </w:p>
        </w:tc>
        <w:tc>
          <w:tcPr>
            <w:tcW w:w="11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157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right"/>
              <w:rPr/>
            </w:pPr>
            <w:r>
              <w:rPr/>
              <w:t>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869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305"/>
        <w:gridCol w:w="5420"/>
      </w:tblGrid>
      <w:tr>
        <w:trPr/>
        <w:tc>
          <w:tcPr>
            <w:tcW w:w="305" w:type="dxa"/>
            <w:tcBorders/>
            <w:vAlign w:val="center"/>
          </w:tcPr>
          <w:p>
            <w:pPr>
              <w:pStyle w:val="TableContents"/>
              <w:bidi w:val="0"/>
              <w:spacing w:before="0" w:after="283"/>
              <w:jc w:val="left"/>
              <w:rPr/>
            </w:pPr>
            <w:r>
              <w:rPr/>
              <w:t>(*)</w:t>
            </w:r>
          </w:p>
        </w:tc>
        <w:tc>
          <w:tcPr>
            <w:tcW w:w="5420" w:type="dxa"/>
            <w:tcBorders/>
            <w:vAlign w:val="center"/>
          </w:tcPr>
          <w:p>
            <w:pPr>
              <w:pStyle w:val="TableContents"/>
              <w:bidi w:val="0"/>
              <w:spacing w:before="0" w:after="283"/>
              <w:jc w:val="both"/>
              <w:rPr/>
            </w:pPr>
            <w:r>
              <w:rPr/>
              <w:t>Including $934 thousand related to Nanox Health IT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8"/>
        <w:gridCol w:w="9797"/>
      </w:tblGrid>
      <w:tr>
        <w:trPr/>
        <w:tc>
          <w:tcPr>
            <w:tcW w:w="408" w:type="dxa"/>
            <w:tcBorders/>
            <w:vAlign w:val="center"/>
          </w:tcPr>
          <w:p>
            <w:pPr>
              <w:pStyle w:val="TableContents"/>
              <w:bidi w:val="0"/>
              <w:spacing w:before="0" w:after="283"/>
              <w:jc w:val="left"/>
              <w:rPr/>
            </w:pPr>
            <w:r>
              <w:rPr/>
              <w:t>(**)</w:t>
            </w:r>
          </w:p>
        </w:tc>
        <w:tc>
          <w:tcPr>
            <w:tcW w:w="979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Nanox.ARC – loss from disposal of property and equipment, rent income and remeasurement of a settlement with a shareholder.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 and Software Solutions - change in the fair value of earn out liability obligation.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NANO-X IMAGING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CONDENSED CONSOLIDATED FINANCIAL STATEMENTS (continued)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035"/>
        <w:gridCol w:w="60"/>
        <w:gridCol w:w="62"/>
        <w:gridCol w:w="791"/>
        <w:gridCol w:w="99"/>
        <w:gridCol w:w="62"/>
        <w:gridCol w:w="102"/>
        <w:gridCol w:w="953"/>
        <w:gridCol w:w="99"/>
        <w:gridCol w:w="62"/>
        <w:gridCol w:w="148"/>
        <w:gridCol w:w="1566"/>
        <w:gridCol w:w="99"/>
        <w:gridCol w:w="62"/>
        <w:gridCol w:w="62"/>
        <w:gridCol w:w="791"/>
        <w:gridCol w:w="110"/>
      </w:tblGrid>
      <w:tr>
        <w:trPr/>
        <w:tc>
          <w:tcPr>
            <w:tcW w:w="30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95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Three months ended June 30, 2025</w:t>
            </w:r>
          </w:p>
        </w:tc>
        <w:tc>
          <w:tcPr>
            <w:tcW w:w="110"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Nanox. </w:t>
              <w:br/>
              <w:t>ARC</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Radiology</w:t>
              <w:br/>
              <w:t>Services</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714" w:type="dxa"/>
            <w:gridSpan w:val="2"/>
            <w:tcBorders>
              <w:bottom w:val="single" w:sz="12" w:space="0" w:color="000000"/>
            </w:tcBorders>
            <w:tcMar>
              <w:bottom w:w="28" w:type="dxa"/>
            </w:tcMar>
            <w:vAlign w:val="center"/>
          </w:tcPr>
          <w:p>
            <w:pPr>
              <w:pStyle w:val="TableContents"/>
              <w:bidi w:val="0"/>
              <w:spacing w:before="0" w:after="283"/>
              <w:jc w:val="center"/>
              <w:rPr/>
            </w:pPr>
            <w:r>
              <w:rPr>
                <w:b/>
              </w:rPr>
              <w:t>AI and</w:t>
            </w:r>
            <w:r>
              <w:rPr/>
              <w:t xml:space="preserve"> </w:t>
            </w:r>
            <w:r>
              <w:rPr>
                <w:b/>
              </w:rPr>
              <w:t>Software</w:t>
              <w:br/>
              <w:t>Solutions</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221</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2,723</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566" w:type="dxa"/>
            <w:tcBorders/>
            <w:shd w:fill="CCEEFF" w:val="clear"/>
            <w:vAlign w:val="center"/>
          </w:tcPr>
          <w:p>
            <w:pPr>
              <w:pStyle w:val="TableContents"/>
              <w:bidi w:val="0"/>
              <w:spacing w:before="0" w:after="283"/>
              <w:jc w:val="right"/>
              <w:rPr/>
            </w:pPr>
            <w:r>
              <w:rPr/>
              <w:t>96</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3,040</w:t>
            </w:r>
          </w:p>
        </w:tc>
        <w:tc>
          <w:tcPr>
            <w:tcW w:w="11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1,961</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2,242</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566" w:type="dxa"/>
            <w:tcBorders/>
            <w:shd w:fill="FFFFFF" w:val="clear"/>
            <w:vAlign w:val="center"/>
          </w:tcPr>
          <w:p>
            <w:pPr>
              <w:pStyle w:val="TableContents"/>
              <w:bidi w:val="0"/>
              <w:spacing w:before="0" w:after="283"/>
              <w:jc w:val="right"/>
              <w:rPr/>
            </w:pPr>
            <w:r>
              <w:rPr/>
              <w:t>2,077</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6,280</w:t>
            </w:r>
          </w:p>
        </w:tc>
        <w:tc>
          <w:tcPr>
            <w:tcW w:w="11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Segment gross profit (loss)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(1,740</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481</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566" w:type="dxa"/>
            <w:tcBorders/>
            <w:shd w:fill="CCEEFF" w:val="clear"/>
            <w:vAlign w:val="center"/>
          </w:tcPr>
          <w:p>
            <w:pPr>
              <w:pStyle w:val="TableContents"/>
              <w:bidi w:val="0"/>
              <w:spacing w:before="0" w:after="283"/>
              <w:jc w:val="right"/>
              <w:rPr/>
            </w:pPr>
            <w:r>
              <w:rPr/>
              <w:t>(1,981</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(3,240</w:t>
            </w:r>
          </w:p>
        </w:tc>
        <w:tc>
          <w:tcPr>
            <w:tcW w:w="110" w:type="dxa"/>
            <w:tcBorders/>
            <w:shd w:fill="CCEEFF" w:val="clear"/>
            <w:vAlign w:val="center"/>
          </w:tcPr>
          <w:p>
            <w:pPr>
              <w:pStyle w:val="TableContents"/>
              <w:bidi w:val="0"/>
              <w:spacing w:before="0" w:after="283"/>
              <w:jc w:val="left"/>
              <w:rPr/>
            </w:pPr>
            <w:r>
              <w:rPr/>
              <w:t>)</w:t>
            </w:r>
          </w:p>
        </w:tc>
      </w:tr>
      <w:tr>
        <w:trPr/>
        <w:tc>
          <w:tcPr>
            <w:tcW w:w="3035" w:type="dxa"/>
            <w:tcBorders/>
            <w:shd w:fill="FFFFFF" w:val="clear"/>
            <w:vAlign w:val="center"/>
          </w:tcPr>
          <w:p>
            <w:pPr>
              <w:pStyle w:val="TableContents"/>
              <w:bidi w:val="0"/>
              <w:spacing w:before="0" w:after="283"/>
              <w:jc w:val="left"/>
              <w:rPr/>
            </w:pPr>
            <w:r>
              <w:rPr/>
              <w:t>Research and development, net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3,759</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36</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566" w:type="dxa"/>
            <w:tcBorders/>
            <w:shd w:fill="FFFFFF" w:val="clear"/>
            <w:vAlign w:val="center"/>
          </w:tcPr>
          <w:p>
            <w:pPr>
              <w:pStyle w:val="TableContents"/>
              <w:bidi w:val="0"/>
              <w:spacing w:before="0" w:after="283"/>
              <w:jc w:val="right"/>
              <w:rPr/>
            </w:pPr>
            <w:r>
              <w:rPr/>
              <w:t>1,039</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4,834</w:t>
            </w:r>
          </w:p>
        </w:tc>
        <w:tc>
          <w:tcPr>
            <w:tcW w:w="11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1,066</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110</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566" w:type="dxa"/>
            <w:tcBorders/>
            <w:shd w:fill="CCEEFF" w:val="clear"/>
            <w:vAlign w:val="center"/>
          </w:tcPr>
          <w:p>
            <w:pPr>
              <w:pStyle w:val="TableContents"/>
              <w:bidi w:val="0"/>
              <w:spacing w:before="0" w:after="283"/>
              <w:jc w:val="right"/>
              <w:rPr/>
            </w:pPr>
            <w:r>
              <w:rPr/>
              <w:t>63</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1,239</w:t>
            </w:r>
          </w:p>
        </w:tc>
        <w:tc>
          <w:tcPr>
            <w:tcW w:w="11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4,322</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734</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566" w:type="dxa"/>
            <w:tcBorders/>
            <w:shd w:fill="FFFFFF" w:val="clear"/>
            <w:vAlign w:val="center"/>
          </w:tcPr>
          <w:p>
            <w:pPr>
              <w:pStyle w:val="TableContents"/>
              <w:bidi w:val="0"/>
              <w:spacing w:before="0" w:after="283"/>
              <w:jc w:val="right"/>
              <w:rPr/>
            </w:pPr>
            <w:r>
              <w:rPr/>
              <w:t>71</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5,127</w:t>
            </w:r>
          </w:p>
        </w:tc>
        <w:tc>
          <w:tcPr>
            <w:tcW w:w="11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Other segment items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51</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566"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51</w:t>
            </w:r>
          </w:p>
        </w:tc>
        <w:tc>
          <w:tcPr>
            <w:tcW w:w="11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left"/>
              <w:rPr/>
            </w:pPr>
            <w:r>
              <w:rPr/>
              <w:t>Segment operating loss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(10,938</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(399</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566" w:type="dxa"/>
            <w:tcBorders/>
            <w:shd w:fill="FFFFFF" w:val="clear"/>
            <w:vAlign w:val="center"/>
          </w:tcPr>
          <w:p>
            <w:pPr>
              <w:pStyle w:val="TableContents"/>
              <w:bidi w:val="0"/>
              <w:spacing w:before="0" w:after="283"/>
              <w:jc w:val="right"/>
              <w:rPr/>
            </w:pPr>
            <w:r>
              <w:rPr/>
              <w:t>(3,154</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(14,491</w:t>
            </w:r>
          </w:p>
        </w:tc>
        <w:tc>
          <w:tcPr>
            <w:tcW w:w="110" w:type="dxa"/>
            <w:tcBorders/>
            <w:shd w:fill="FFFFFF" w:val="clear"/>
            <w:vAlign w:val="center"/>
          </w:tcPr>
          <w:p>
            <w:pPr>
              <w:pStyle w:val="TableContents"/>
              <w:bidi w:val="0"/>
              <w:spacing w:before="0" w:after="283"/>
              <w:jc w:val="left"/>
              <w:rPr/>
            </w:pPr>
            <w:r>
              <w:rPr/>
              <w:t>)</w:t>
            </w:r>
          </w:p>
        </w:tc>
      </w:tr>
      <w:tr>
        <w:trPr/>
        <w:tc>
          <w:tcPr>
            <w:tcW w:w="3035" w:type="dxa"/>
            <w:tcBorders/>
            <w:shd w:fill="CCEEFF" w:val="clear"/>
            <w:vAlign w:val="center"/>
          </w:tcPr>
          <w:p>
            <w:pPr>
              <w:pStyle w:val="TableContents"/>
              <w:bidi w:val="0"/>
              <w:spacing w:before="0" w:after="283"/>
              <w:jc w:val="left"/>
              <w:rPr/>
            </w:pPr>
            <w:r>
              <w:rPr/>
              <w:t>Financial income (expense), net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566"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(149</w:t>
            </w:r>
          </w:p>
        </w:tc>
        <w:tc>
          <w:tcPr>
            <w:tcW w:w="110" w:type="dxa"/>
            <w:tcBorders/>
            <w:shd w:fill="CCEEFF" w:val="clear"/>
            <w:vAlign w:val="center"/>
          </w:tcPr>
          <w:p>
            <w:pPr>
              <w:pStyle w:val="TableContents"/>
              <w:bidi w:val="0"/>
              <w:spacing w:before="0" w:after="283"/>
              <w:jc w:val="left"/>
              <w:rPr/>
            </w:pPr>
            <w:r>
              <w:rPr/>
              <w:t>)</w:t>
            </w:r>
          </w:p>
        </w:tc>
      </w:tr>
      <w:tr>
        <w:trPr/>
        <w:tc>
          <w:tcPr>
            <w:tcW w:w="3035" w:type="dxa"/>
            <w:tcBorders/>
            <w:shd w:fill="FFFFFF" w:val="clear"/>
            <w:vAlign w:val="center"/>
          </w:tcPr>
          <w:p>
            <w:pPr>
              <w:pStyle w:val="TableContents"/>
              <w:bidi w:val="0"/>
              <w:spacing w:before="0" w:after="283"/>
              <w:jc w:val="left"/>
              <w:rPr/>
            </w:pPr>
            <w:r>
              <w:rPr/>
              <w:t>Loss before taxes on income</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566"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(14,640</w:t>
            </w:r>
          </w:p>
        </w:tc>
        <w:tc>
          <w:tcPr>
            <w:tcW w:w="110" w:type="dxa"/>
            <w:tcBorders/>
            <w:shd w:fill="FFFFFF" w:val="clear"/>
            <w:vAlign w:val="center"/>
          </w:tcPr>
          <w:p>
            <w:pPr>
              <w:pStyle w:val="TableContents"/>
              <w:bidi w:val="0"/>
              <w:spacing w:before="0" w:after="283"/>
              <w:jc w:val="left"/>
              <w:rPr/>
            </w:pPr>
            <w:r>
              <w:rPr/>
              <w:t>)</w:t>
            </w:r>
          </w:p>
        </w:tc>
      </w:tr>
      <w:tr>
        <w:trPr/>
        <w:tc>
          <w:tcPr>
            <w:tcW w:w="3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566"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left"/>
              <w:rPr/>
            </w:pPr>
            <w:r>
              <w:rPr/>
              <w:t>Depreciation expense</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270</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2</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566" w:type="dxa"/>
            <w:tcBorders/>
            <w:shd w:fill="FFFFFF" w:val="clear"/>
            <w:vAlign w:val="center"/>
          </w:tcPr>
          <w:p>
            <w:pPr>
              <w:pStyle w:val="TableContents"/>
              <w:bidi w:val="0"/>
              <w:spacing w:before="0" w:after="283"/>
              <w:jc w:val="right"/>
              <w:rPr/>
            </w:pPr>
            <w:r>
              <w:rPr/>
              <w:t>27</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299</w:t>
            </w:r>
          </w:p>
        </w:tc>
        <w:tc>
          <w:tcPr>
            <w:tcW w:w="11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Amortization expense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657</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566" w:type="dxa"/>
            <w:tcBorders/>
            <w:shd w:fill="CCEEFF" w:val="clear"/>
            <w:vAlign w:val="center"/>
          </w:tcPr>
          <w:p>
            <w:pPr>
              <w:pStyle w:val="TableContents"/>
              <w:bidi w:val="0"/>
              <w:spacing w:before="0" w:after="283"/>
              <w:jc w:val="right"/>
              <w:rPr/>
            </w:pPr>
            <w:r>
              <w:rPr/>
              <w:t>1,996</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2,653</w:t>
            </w:r>
          </w:p>
        </w:tc>
        <w:tc>
          <w:tcPr>
            <w:tcW w:w="11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left"/>
              <w:rPr/>
            </w:pPr>
            <w:r>
              <w:rPr/>
              <w:t>Stock based compensation</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882</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186</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566" w:type="dxa"/>
            <w:tcBorders/>
            <w:shd w:fill="FFFFFF" w:val="clear"/>
            <w:vAlign w:val="center"/>
          </w:tcPr>
          <w:p>
            <w:pPr>
              <w:pStyle w:val="TableContents"/>
              <w:bidi w:val="0"/>
              <w:spacing w:before="0" w:after="283"/>
              <w:jc w:val="right"/>
              <w:rPr/>
            </w:pPr>
            <w:r>
              <w:rPr/>
              <w:t>43</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r>
              <w:rPr/>
              <w:t>1,111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305"/>
        <w:gridCol w:w="6275"/>
      </w:tblGrid>
      <w:tr>
        <w:trPr/>
        <w:tc>
          <w:tcPr>
            <w:tcW w:w="305" w:type="dxa"/>
            <w:tcBorders/>
            <w:vAlign w:val="center"/>
          </w:tcPr>
          <w:p>
            <w:pPr>
              <w:pStyle w:val="TableContents"/>
              <w:bidi w:val="0"/>
              <w:spacing w:before="0" w:after="283"/>
              <w:jc w:val="left"/>
              <w:rPr/>
            </w:pPr>
            <w:r>
              <w:rPr/>
              <w:t>(*)</w:t>
            </w:r>
          </w:p>
        </w:tc>
        <w:tc>
          <w:tcPr>
            <w:tcW w:w="627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Nanox.ARC – loss from disposal of property and equipment and rent income.</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no individual customer exceeded 10% of the Company’s accounts receivables.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June 30, 2025, the Company had outstanding 2,142,858 and 2,192,858 warrants, respectively. As of June 30, 2026, and June 30, 2025, the Company had 4,221,803 and 4,216,533 outstanding options awards and 1,138,332 and 59,407 outstanding unvested RSUs awards, respectively. These warrants and awards were not considered when calculating diluted loss per share since their effect is anti-dilutive.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SUBSEQUENT EVENTS:</w:t>
      </w:r>
    </w:p>
    <w:p>
      <w:pPr>
        <w:pStyle w:val="TextBody"/>
        <w:bidi w:val="0"/>
        <w:spacing w:before="0" w:after="0"/>
        <w:ind w:left="0" w:right="0" w:hanging="0"/>
        <w:jc w:val="both"/>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215"/>
        <w:gridCol w:w="2210"/>
      </w:tblGrid>
      <w:tr>
        <w:trPr/>
        <w:tc>
          <w:tcPr>
            <w:tcW w:w="215" w:type="dxa"/>
            <w:tcBorders/>
            <w:vAlign w:val="center"/>
          </w:tcPr>
          <w:p>
            <w:pPr>
              <w:pStyle w:val="TableContents"/>
              <w:bidi w:val="0"/>
              <w:spacing w:before="0" w:after="283"/>
              <w:jc w:val="both"/>
              <w:rPr>
                <w:b/>
              </w:rPr>
            </w:pPr>
            <w:r>
              <w:rPr>
                <w:b/>
              </w:rPr>
              <w:t>a.</w:t>
            </w:r>
          </w:p>
        </w:tc>
        <w:tc>
          <w:tcPr>
            <w:tcW w:w="2210" w:type="dxa"/>
            <w:tcBorders/>
            <w:vAlign w:val="center"/>
          </w:tcPr>
          <w:p>
            <w:pPr>
              <w:pStyle w:val="TableContents"/>
              <w:bidi w:val="0"/>
              <w:spacing w:before="0" w:after="283"/>
              <w:jc w:val="left"/>
              <w:rPr>
                <w:b/>
              </w:rPr>
            </w:pPr>
            <w:r>
              <w:rPr>
                <w:b/>
              </w:rPr>
              <w:t>At-the-Market Sales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July 2026, the Company issued a total of 527,300 ordinary shares, utilizing an at-the-market, resulting in net proceeds of approximately $469 thousand, after deducting sales commissions and estimated offering expenses of $12 thousand paid to Cantor Fitzgerald &amp; Co. and Mizuho Securities USA LLC, as the Sales Agents. </w:t>
      </w:r>
    </w:p>
    <w:p>
      <w:pPr>
        <w:pStyle w:val="TextBody"/>
        <w:bidi w:val="0"/>
        <w:spacing w:before="0" w:after="0"/>
        <w:ind w:left="0" w:right="0" w:hanging="0"/>
        <w:jc w:val="both"/>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230"/>
        <w:gridCol w:w="2735"/>
      </w:tblGrid>
      <w:tr>
        <w:trPr/>
        <w:tc>
          <w:tcPr>
            <w:tcW w:w="230" w:type="dxa"/>
            <w:tcBorders/>
            <w:vAlign w:val="center"/>
          </w:tcPr>
          <w:p>
            <w:pPr>
              <w:pStyle w:val="TableContents"/>
              <w:bidi w:val="0"/>
              <w:spacing w:before="0" w:after="283"/>
              <w:jc w:val="both"/>
              <w:rPr>
                <w:b/>
              </w:rPr>
            </w:pPr>
            <w:r>
              <w:rPr>
                <w:b/>
              </w:rPr>
              <w:t>b.</w:t>
            </w:r>
          </w:p>
        </w:tc>
        <w:tc>
          <w:tcPr>
            <w:tcW w:w="2735" w:type="dxa"/>
            <w:tcBorders/>
            <w:vAlign w:val="center"/>
          </w:tcPr>
          <w:p>
            <w:pPr>
              <w:pStyle w:val="TableContents"/>
              <w:bidi w:val="0"/>
              <w:spacing w:before="0" w:after="283"/>
              <w:jc w:val="left"/>
              <w:rPr>
                <w:b/>
              </w:rPr>
            </w:pPr>
            <w:r>
              <w:rPr>
                <w:b/>
              </w:rPr>
              <w:t>Registered direct offering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7, 2026, the Company completed a registered direct offering in which it sold to a single institutional investor 3,700,000 of the Company’s ordinary shares and 4,300,000 pre-funded warrants to purchase up to 4,300,000 ordinary shares, along with 8,000,000 ordinary warrants to purchase up to 8,000,000 ordinary shares, at a combined purchase price of $1.00 per ordinary share and accompanying ordinary warrant (or $0.9999 per pre-funded warrant and accompanying ordinary warrant). The pre-funded warrants sold in the offering had an exercise price of $0.0001 per underlying ordinary share, were immediately exercisable, and were not to expire until exercised in full. The ordinary warrants have an exercise price of $1.15 per ordinary share, will be exercisable beginning six months following issuance and will expire five years from the closing date of the offering.  Each of the pre-funded warrants and the ordinary warrants could not be exercised to the extent that exercise would raise the beneficial ownership of the investor above 4.99% of the Company’s ordinary shares. All pre-funded warrants were subsequently exercised by the investor, in August 2026. The gross proceeds to the Company from the offering were approximately $8 million, while agent fees and other offering expenses were estimated at $650 thousand. </w:t>
      </w:r>
    </w:p>
    <w:p>
      <w:pPr>
        <w:pStyle w:val="TextBody"/>
        <w:bidi w:val="0"/>
        <w:spacing w:before="0" w:after="0"/>
        <w:ind w:left="0" w:right="0" w:hanging="0"/>
        <w:jc w:val="both"/>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200"/>
        <w:gridCol w:w="1550"/>
      </w:tblGrid>
      <w:tr>
        <w:trPr/>
        <w:tc>
          <w:tcPr>
            <w:tcW w:w="200" w:type="dxa"/>
            <w:tcBorders/>
            <w:vAlign w:val="center"/>
          </w:tcPr>
          <w:p>
            <w:pPr>
              <w:pStyle w:val="TableContents"/>
              <w:bidi w:val="0"/>
              <w:spacing w:before="0" w:after="283"/>
              <w:jc w:val="both"/>
              <w:rPr>
                <w:b/>
              </w:rPr>
            </w:pPr>
            <w:r>
              <w:rPr>
                <w:b/>
              </w:rPr>
              <w:t>c.</w:t>
            </w:r>
          </w:p>
        </w:tc>
        <w:tc>
          <w:tcPr>
            <w:tcW w:w="1550" w:type="dxa"/>
            <w:tcBorders/>
            <w:vAlign w:val="center"/>
          </w:tcPr>
          <w:p>
            <w:pPr>
              <w:pStyle w:val="TableContents"/>
              <w:bidi w:val="0"/>
              <w:spacing w:before="0" w:after="283"/>
              <w:jc w:val="both"/>
              <w:rPr>
                <w:b/>
              </w:rPr>
            </w:pPr>
            <w:r>
              <w:rPr>
                <w:b/>
              </w:rPr>
              <w:t>Grant of RSUs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13, 2026, the Company granted employees a total of 1,465,256 RSUs. The RSUs will vest and settle for underlying ordinary shares of the Company over a period of two (2) years from the grant date, in four (4) equal installments, such that twenty-five percent (25%) of the RSUs will vest every six (6) months following the grant date, subject to each grantee’s continued service through each applicable vesting date.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of the above RSUs was approximately $1,451 thousand. </w:t>
      </w:r>
    </w:p>
    <w:p>
      <w:pPr>
        <w:pStyle w:val="TextBody"/>
        <w:bidi w:val="0"/>
        <w:spacing w:before="0" w:after="0"/>
        <w:ind w:left="0" w:right="0" w:hanging="0"/>
        <w:jc w:val="both"/>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230"/>
        <w:gridCol w:w="2810"/>
      </w:tblGrid>
      <w:tr>
        <w:trPr/>
        <w:tc>
          <w:tcPr>
            <w:tcW w:w="230" w:type="dxa"/>
            <w:tcBorders/>
            <w:vAlign w:val="center"/>
          </w:tcPr>
          <w:p>
            <w:pPr>
              <w:pStyle w:val="TableContents"/>
              <w:bidi w:val="0"/>
              <w:spacing w:before="0" w:after="283"/>
              <w:jc w:val="both"/>
              <w:rPr>
                <w:b/>
              </w:rPr>
            </w:pPr>
            <w:r>
              <w:rPr>
                <w:b/>
              </w:rPr>
              <w:t>d.</w:t>
            </w:r>
          </w:p>
        </w:tc>
        <w:tc>
          <w:tcPr>
            <w:tcW w:w="2810" w:type="dxa"/>
            <w:tcBorders/>
            <w:vAlign w:val="center"/>
          </w:tcPr>
          <w:p>
            <w:pPr>
              <w:pStyle w:val="TableContents"/>
              <w:bidi w:val="0"/>
              <w:spacing w:before="0" w:after="283"/>
              <w:jc w:val="both"/>
              <w:rPr>
                <w:b/>
              </w:rPr>
            </w:pPr>
            <w:r>
              <w:rPr>
                <w:b/>
              </w:rPr>
              <w:t>Nanox Korea restructuring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August 2026, the Company initiated a structural transformation of its South Korea operations, including transitioning substantially all chip manufacturing activities to qualified third-party manufacturing partners and undertaking other efficiency initiatives including reduction of approximately 67% in the headcount. The restructuring is expected to result in approximately $850 thousand of restructuring-related expenses.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RECONCILIATION OF GAAP AND NON-GAAP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 (except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Use of 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financial information is prepared in conformity with GAAP. The Company uses information about certain financial measures that are not prepared in accordance with GAAP, including non-GAAP net loss attributable to ordinary shares, non-GAAP cost of revenue, non-GAAP gross profit (loss), non-GAAP gross profit (loss) margin, non-GAAP research and development expenses, net, non-GAAP sales and marketing expenses, non-GAAP general and administrative expenses, non-GAAP operating expenses, non-GAAP other expenses (income) and non-GAAP basic and diluted loss per share. These non-GAAP measures are adjusted for (as applicable) amortization of intangible assets, share-based compensation expenses, expenses related to an offering and legal fees expenses in connection with class-action litigation. The Company believes that separate analysis and exclusion of the one-off or non-cash impact of the above reconciling items (as applicable) adds clarity to the constituent parts of its performance. The Company reviews these non-GAAP financial measures together with GAAP financial measures to obtain a better understanding of its operating performance. It uses the non-GAAP financial measures for planning, forecasting, and measuring results against the forecast. The Company believes that the non-GAAP financial measures are useful supplemental information for investors and analysts to assess its operating performance. However, these non-GAAP measures are not measures of financial performance under GAAP and, accordingly, should not be considered as alternatives to GAAP measures as indicators of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net loss attributable to ordinary shares to Non-GAAP net loss attributable to ordinary shares and Non-GAAP basic and diluted loss per share (U.S. dollars 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93"/>
        <w:gridCol w:w="60"/>
        <w:gridCol w:w="66"/>
        <w:gridCol w:w="758"/>
        <w:gridCol w:w="105"/>
        <w:gridCol w:w="66"/>
        <w:gridCol w:w="66"/>
        <w:gridCol w:w="758"/>
        <w:gridCol w:w="60"/>
        <w:gridCol w:w="60"/>
        <w:gridCol w:w="74"/>
        <w:gridCol w:w="845"/>
        <w:gridCol w:w="117"/>
        <w:gridCol w:w="74"/>
        <w:gridCol w:w="74"/>
        <w:gridCol w:w="845"/>
        <w:gridCol w:w="84"/>
      </w:tblGrid>
      <w:tr>
        <w:trPr/>
        <w:tc>
          <w:tcPr>
            <w:tcW w:w="60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9" w:type="dxa"/>
            <w:gridSpan w:val="6"/>
            <w:tcBorders/>
            <w:vAlign w:val="center"/>
          </w:tcPr>
          <w:p>
            <w:pPr>
              <w:pStyle w:val="TableContents"/>
              <w:bidi w:val="0"/>
              <w:spacing w:before="0" w:after="283"/>
              <w:jc w:val="center"/>
              <w:rPr>
                <w:b/>
              </w:rPr>
            </w:pPr>
            <w:r>
              <w:rPr>
                <w:b/>
              </w:rPr>
              <w:t>Six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9" w:type="dxa"/>
            <w:gridSpan w:val="6"/>
            <w:tcBorders/>
            <w:vAlign w:val="center"/>
          </w:tcPr>
          <w:p>
            <w:pPr>
              <w:pStyle w:val="TableContents"/>
              <w:bidi w:val="0"/>
              <w:spacing w:before="0" w:after="283"/>
              <w:jc w:val="center"/>
              <w:rPr>
                <w:b/>
              </w:rPr>
            </w:pPr>
            <w:r>
              <w:rPr>
                <w:b/>
              </w:rPr>
              <w:t>Three Months Ended</w:t>
            </w:r>
          </w:p>
        </w:tc>
        <w:tc>
          <w:tcPr>
            <w:tcW w:w="84" w:type="dxa"/>
            <w:tcBorders/>
            <w:vAlign w:val="center"/>
          </w:tcPr>
          <w:p>
            <w:pPr>
              <w:pStyle w:val="TableContents"/>
              <w:bidi w:val="0"/>
              <w:spacing w:before="0" w:after="283"/>
              <w:jc w:val="left"/>
              <w:rPr/>
            </w:pPr>
            <w:r>
              <w:rPr/>
              <w:t> </w:t>
            </w:r>
          </w:p>
        </w:tc>
      </w:tr>
      <w:tr>
        <w:trPr/>
        <w:tc>
          <w:tcPr>
            <w:tcW w:w="60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84" w:type="dxa"/>
            <w:tcBorders/>
            <w:vAlign w:val="center"/>
          </w:tcPr>
          <w:p>
            <w:pPr>
              <w:pStyle w:val="TableContents"/>
              <w:bidi w:val="0"/>
              <w:spacing w:before="0" w:after="283"/>
              <w:jc w:val="left"/>
              <w:rPr/>
            </w:pPr>
            <w:r>
              <w:rPr/>
              <w:t> </w:t>
            </w:r>
          </w:p>
        </w:tc>
      </w:tr>
      <w:tr>
        <w:trPr/>
        <w:tc>
          <w:tcPr>
            <w:tcW w:w="60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7"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84" w:type="dxa"/>
            <w:tcBorders/>
            <w:vAlign w:val="center"/>
          </w:tcPr>
          <w:p>
            <w:pPr>
              <w:pStyle w:val="TableContents"/>
              <w:bidi w:val="0"/>
              <w:spacing w:before="0" w:after="283"/>
              <w:jc w:val="left"/>
              <w:rPr/>
            </w:pPr>
            <w:r>
              <w:rPr/>
              <w:t> </w:t>
            </w:r>
          </w:p>
        </w:tc>
      </w:tr>
      <w:tr>
        <w:trPr/>
        <w:tc>
          <w:tcPr>
            <w:tcW w:w="6093" w:type="dxa"/>
            <w:tcBorders/>
            <w:shd w:fill="CCEEFF" w:val="clear"/>
            <w:vAlign w:val="center"/>
          </w:tcPr>
          <w:p>
            <w:pPr>
              <w:pStyle w:val="TableContents"/>
              <w:bidi w:val="0"/>
              <w:spacing w:before="0" w:after="283"/>
              <w:jc w:val="left"/>
              <w:rPr>
                <w:b/>
              </w:rPr>
            </w:pPr>
            <w:r>
              <w:rPr>
                <w:b/>
              </w:rPr>
              <w:t>GAAP net loss attributable to ordinary shares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69,752</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27,961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55,487</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14,722</w:t>
            </w:r>
          </w:p>
        </w:tc>
        <w:tc>
          <w:tcPr>
            <w:tcW w:w="84" w:type="dxa"/>
            <w:tcBorders/>
            <w:shd w:fill="CCEEFF" w:val="clear"/>
            <w:vAlign w:val="center"/>
          </w:tcPr>
          <w:p>
            <w:pPr>
              <w:pStyle w:val="TableContents"/>
              <w:bidi w:val="0"/>
              <w:spacing w:before="0" w:after="283"/>
              <w:jc w:val="left"/>
              <w:rPr/>
            </w:pPr>
            <w:r>
              <w:rPr/>
              <w:t> </w:t>
            </w:r>
          </w:p>
        </w:tc>
      </w:tr>
      <w:tr>
        <w:trPr/>
        <w:tc>
          <w:tcPr>
            <w:tcW w:w="6093" w:type="dxa"/>
            <w:tcBorders/>
            <w:shd w:fill="FFFFFF" w:val="clear"/>
            <w:vAlign w:val="center"/>
          </w:tcPr>
          <w:p>
            <w:pPr>
              <w:pStyle w:val="TableContents"/>
              <w:bidi w:val="0"/>
              <w:spacing w:before="0" w:after="283"/>
              <w:jc w:val="left"/>
              <w:rPr/>
            </w:pPr>
            <w:r>
              <w:rPr/>
              <w:t>Non-GAAP adjustments: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6093" w:type="dxa"/>
            <w:tcBorders/>
            <w:shd w:fill="CCEEFF" w:val="clear"/>
            <w:vAlign w:val="center"/>
          </w:tcPr>
          <w:p>
            <w:pPr>
              <w:pStyle w:val="TableContents"/>
              <w:bidi w:val="0"/>
              <w:spacing w:before="0" w:after="283"/>
              <w:jc w:val="left"/>
              <w:rPr/>
            </w:pPr>
            <w:r>
              <w:rPr/>
              <w:t>Add: Settlement with a shareholder</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(482</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(243</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jc w:val="left"/>
              <w:rPr/>
            </w:pPr>
            <w:r>
              <w:rPr/>
              <w:t> </w:t>
            </w:r>
          </w:p>
        </w:tc>
      </w:tr>
      <w:tr>
        <w:trPr/>
        <w:tc>
          <w:tcPr>
            <w:tcW w:w="6093" w:type="dxa"/>
            <w:tcBorders/>
            <w:shd w:fill="FFFFFF" w:val="clear"/>
            <w:vAlign w:val="center"/>
          </w:tcPr>
          <w:p>
            <w:pPr>
              <w:pStyle w:val="TableContents"/>
              <w:bidi w:val="0"/>
              <w:spacing w:before="0" w:after="283"/>
              <w:jc w:val="left"/>
              <w:rPr/>
            </w:pPr>
            <w:r>
              <w:rPr/>
              <w:t>Less: Class-action litigation</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15</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15</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33</w:t>
            </w:r>
          </w:p>
        </w:tc>
        <w:tc>
          <w:tcPr>
            <w:tcW w:w="84" w:type="dxa"/>
            <w:tcBorders/>
            <w:shd w:fill="FFFFFF" w:val="clear"/>
            <w:vAlign w:val="center"/>
          </w:tcPr>
          <w:p>
            <w:pPr>
              <w:pStyle w:val="TableContents"/>
              <w:bidi w:val="0"/>
              <w:spacing w:before="0" w:after="283"/>
              <w:jc w:val="left"/>
              <w:rPr/>
            </w:pPr>
            <w:r>
              <w:rPr/>
              <w:t> </w:t>
            </w:r>
          </w:p>
        </w:tc>
      </w:tr>
      <w:tr>
        <w:trPr/>
        <w:tc>
          <w:tcPr>
            <w:tcW w:w="6093" w:type="dxa"/>
            <w:tcBorders/>
            <w:shd w:fill="CCEEFF" w:val="clear"/>
            <w:vAlign w:val="center"/>
          </w:tcPr>
          <w:p>
            <w:pPr>
              <w:pStyle w:val="TableContents"/>
              <w:bidi w:val="0"/>
              <w:spacing w:before="0" w:after="283"/>
              <w:jc w:val="left"/>
              <w:rPr/>
            </w:pPr>
            <w:r>
              <w:rPr/>
              <w:t>Less: Amortization of intangible assets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5,010</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5,306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2,505</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2,653</w:t>
            </w:r>
          </w:p>
        </w:tc>
        <w:tc>
          <w:tcPr>
            <w:tcW w:w="84" w:type="dxa"/>
            <w:tcBorders/>
            <w:shd w:fill="CCEEFF" w:val="clear"/>
            <w:vAlign w:val="center"/>
          </w:tcPr>
          <w:p>
            <w:pPr>
              <w:pStyle w:val="TableContents"/>
              <w:bidi w:val="0"/>
              <w:spacing w:before="0" w:after="283"/>
              <w:jc w:val="left"/>
              <w:rPr/>
            </w:pPr>
            <w:r>
              <w:rPr/>
              <w:t> </w:t>
            </w:r>
          </w:p>
        </w:tc>
      </w:tr>
      <w:tr>
        <w:trPr/>
        <w:tc>
          <w:tcPr>
            <w:tcW w:w="6093" w:type="dxa"/>
            <w:tcBorders/>
            <w:shd w:fill="FFFFFF" w:val="clear"/>
            <w:vAlign w:val="center"/>
          </w:tcPr>
          <w:p>
            <w:pPr>
              <w:pStyle w:val="TableContents"/>
              <w:bidi w:val="0"/>
              <w:spacing w:before="0" w:after="283"/>
              <w:jc w:val="left"/>
              <w:rPr/>
            </w:pPr>
            <w:r>
              <w:rPr/>
              <w:t>Less: Impairment of intangible assets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40,695</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40,695</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84" w:type="dxa"/>
            <w:tcBorders/>
            <w:shd w:fill="FFFFFF" w:val="clear"/>
            <w:vAlign w:val="center"/>
          </w:tcPr>
          <w:p>
            <w:pPr>
              <w:pStyle w:val="TableContents"/>
              <w:bidi w:val="0"/>
              <w:spacing w:before="0" w:after="283"/>
              <w:jc w:val="left"/>
              <w:rPr/>
            </w:pPr>
            <w:r>
              <w:rPr/>
              <w:t> </w:t>
            </w:r>
          </w:p>
        </w:tc>
      </w:tr>
      <w:tr>
        <w:trPr/>
        <w:tc>
          <w:tcPr>
            <w:tcW w:w="6093" w:type="dxa"/>
            <w:tcBorders/>
            <w:shd w:fill="CCEEFF" w:val="clear"/>
            <w:vAlign w:val="center"/>
          </w:tcPr>
          <w:p>
            <w:pPr>
              <w:pStyle w:val="TableContents"/>
              <w:bidi w:val="0"/>
              <w:spacing w:before="0" w:after="283"/>
              <w:jc w:val="left"/>
              <w:rPr/>
            </w:pPr>
            <w:r>
              <w:rPr/>
              <w:t>Less: Change in the fair value of earn out liabilities’ obligation</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27</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(1</w:t>
            </w:r>
          </w:p>
        </w:tc>
        <w:tc>
          <w:tcPr>
            <w:tcW w:w="117"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jc w:val="left"/>
              <w:rPr/>
            </w:pPr>
            <w:r>
              <w:rPr/>
              <w:t> </w:t>
            </w:r>
          </w:p>
        </w:tc>
      </w:tr>
      <w:tr>
        <w:trPr/>
        <w:tc>
          <w:tcPr>
            <w:tcW w:w="60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6093" w:type="dxa"/>
            <w:tcBorders/>
            <w:shd w:fill="CCEEFF" w:val="clear"/>
            <w:vAlign w:val="center"/>
          </w:tcPr>
          <w:p>
            <w:pPr>
              <w:pStyle w:val="TableContents"/>
              <w:bidi w:val="0"/>
              <w:spacing w:before="0" w:after="283"/>
              <w:jc w:val="left"/>
              <w:rPr/>
            </w:pPr>
            <w:r>
              <w:rPr/>
              <w:t>Less: Share-based compensation</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8" w:type="dxa"/>
            <w:tcBorders>
              <w:bottom w:val="single" w:sz="12" w:space="0" w:color="000000"/>
            </w:tcBorders>
            <w:shd w:fill="CCEEFF" w:val="clear"/>
            <w:tcMar>
              <w:bottom w:w="28" w:type="dxa"/>
            </w:tcMar>
            <w:vAlign w:val="center"/>
          </w:tcPr>
          <w:p>
            <w:pPr>
              <w:pStyle w:val="TableContents"/>
              <w:bidi w:val="0"/>
              <w:spacing w:before="0" w:after="283"/>
              <w:jc w:val="right"/>
              <w:rPr/>
            </w:pPr>
            <w:r>
              <w:rPr/>
              <w:t>1,710</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8" w:type="dxa"/>
            <w:tcBorders>
              <w:bottom w:val="single" w:sz="12" w:space="0" w:color="000000"/>
            </w:tcBorders>
            <w:shd w:fill="CCEEFF" w:val="clear"/>
            <w:tcMar>
              <w:bottom w:w="28" w:type="dxa"/>
            </w:tcMar>
            <w:vAlign w:val="center"/>
          </w:tcPr>
          <w:p>
            <w:pPr>
              <w:pStyle w:val="TableContents"/>
              <w:bidi w:val="0"/>
              <w:spacing w:before="0" w:after="283"/>
              <w:jc w:val="right"/>
              <w:rPr/>
            </w:pPr>
            <w:r>
              <w:rPr/>
              <w:t>2,277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pPr>
            <w:r>
              <w:rPr/>
              <w:t>869</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pPr>
            <w:r>
              <w:rPr/>
              <w:t>1,111</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6093" w:type="dxa"/>
            <w:tcBorders/>
            <w:shd w:fill="FFFFFF" w:val="clear"/>
            <w:vAlign w:val="center"/>
          </w:tcPr>
          <w:p>
            <w:pPr>
              <w:pStyle w:val="TableContents"/>
              <w:bidi w:val="0"/>
              <w:spacing w:before="0" w:after="283"/>
              <w:jc w:val="left"/>
              <w:rPr>
                <w:b/>
              </w:rPr>
            </w:pPr>
            <w:r>
              <w:rPr>
                <w:b/>
              </w:rPr>
              <w:t>Non-GAAP net loss attributable to ordinary shares</w:t>
            </w:r>
          </w:p>
        </w:tc>
        <w:tc>
          <w:tcPr>
            <w:tcW w:w="60" w:type="dxa"/>
            <w:tcBorders/>
            <w:shd w:fill="FFFFFF" w:val="clear"/>
            <w:vAlign w:val="center"/>
          </w:tcPr>
          <w:p>
            <w:pPr>
              <w:pStyle w:val="TableContents"/>
              <w:bidi w:val="0"/>
              <w:spacing w:before="0" w:after="283"/>
              <w:jc w:val="left"/>
              <w:rPr/>
            </w:pPr>
            <w:r>
              <w:rPr/>
              <w:t> </w:t>
            </w:r>
          </w:p>
        </w:tc>
        <w:tc>
          <w:tcPr>
            <w:tcW w:w="6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58" w:type="dxa"/>
            <w:tcBorders>
              <w:bottom w:val="double" w:sz="10" w:space="0" w:color="000000"/>
            </w:tcBorders>
            <w:shd w:fill="FFFFFF" w:val="clear"/>
            <w:tcMar>
              <w:bottom w:w="28" w:type="dxa"/>
            </w:tcMar>
            <w:vAlign w:val="center"/>
          </w:tcPr>
          <w:p>
            <w:pPr>
              <w:pStyle w:val="TableContents"/>
              <w:bidi w:val="0"/>
              <w:spacing w:before="0" w:after="283"/>
              <w:jc w:val="right"/>
              <w:rPr/>
            </w:pPr>
            <w:r>
              <w:rPr/>
              <w:t>22,777</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58" w:type="dxa"/>
            <w:tcBorders>
              <w:bottom w:val="double" w:sz="10" w:space="0" w:color="000000"/>
            </w:tcBorders>
            <w:shd w:fill="FFFFFF" w:val="clear"/>
            <w:tcMar>
              <w:bottom w:w="28" w:type="dxa"/>
            </w:tcMar>
            <w:vAlign w:val="center"/>
          </w:tcPr>
          <w:p>
            <w:pPr>
              <w:pStyle w:val="TableContents"/>
              <w:bidi w:val="0"/>
              <w:spacing w:before="0" w:after="283"/>
              <w:jc w:val="right"/>
              <w:rPr/>
            </w:pPr>
            <w:r>
              <w:rPr/>
              <w:t>20,345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10" w:space="0" w:color="000000"/>
            </w:tcBorders>
            <w:shd w:fill="FFFFFF" w:val="clear"/>
            <w:tcMar>
              <w:bottom w:w="28" w:type="dxa"/>
            </w:tcMar>
            <w:vAlign w:val="center"/>
          </w:tcPr>
          <w:p>
            <w:pPr>
              <w:pStyle w:val="TableContents"/>
              <w:bidi w:val="0"/>
              <w:spacing w:before="0" w:after="283"/>
              <w:jc w:val="right"/>
              <w:rPr/>
            </w:pPr>
            <w:r>
              <w:rPr/>
              <w:t>11,647</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10" w:space="0" w:color="000000"/>
            </w:tcBorders>
            <w:shd w:fill="FFFFFF" w:val="clear"/>
            <w:tcMar>
              <w:bottom w:w="28" w:type="dxa"/>
            </w:tcMar>
            <w:vAlign w:val="center"/>
          </w:tcPr>
          <w:p>
            <w:pPr>
              <w:pStyle w:val="TableContents"/>
              <w:bidi w:val="0"/>
              <w:spacing w:before="0" w:after="283"/>
              <w:jc w:val="right"/>
              <w:rPr/>
            </w:pPr>
            <w:r>
              <w:rPr/>
              <w:t>10,925</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6093" w:type="dxa"/>
            <w:tcBorders/>
            <w:shd w:fill="CCEEFF" w:val="clear"/>
            <w:vAlign w:val="center"/>
          </w:tcPr>
          <w:p>
            <w:pPr>
              <w:pStyle w:val="TableContents"/>
              <w:bidi w:val="0"/>
              <w:spacing w:before="0" w:after="283"/>
              <w:jc w:val="left"/>
              <w:rPr>
                <w:b/>
              </w:rPr>
            </w:pPr>
            <w:r>
              <w:rPr>
                <w:b/>
              </w:rPr>
              <w:t>NON-GAAP BASIC AND DILUTED LOSS PER SHARE</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8" w:type="dxa"/>
            <w:tcBorders>
              <w:bottom w:val="double" w:sz="10" w:space="0" w:color="000000"/>
            </w:tcBorders>
            <w:shd w:fill="CCEEFF" w:val="clear"/>
            <w:tcMar>
              <w:bottom w:w="28" w:type="dxa"/>
            </w:tcMar>
            <w:vAlign w:val="center"/>
          </w:tcPr>
          <w:p>
            <w:pPr>
              <w:pStyle w:val="TableContents"/>
              <w:bidi w:val="0"/>
              <w:spacing w:before="0" w:after="283"/>
              <w:jc w:val="right"/>
              <w:rPr/>
            </w:pPr>
            <w:r>
              <w:rPr/>
              <w:t>0.33</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8" w:type="dxa"/>
            <w:tcBorders>
              <w:bottom w:val="double" w:sz="10" w:space="0" w:color="000000"/>
            </w:tcBorders>
            <w:shd w:fill="CCEEFF" w:val="clear"/>
            <w:tcMar>
              <w:bottom w:w="28" w:type="dxa"/>
            </w:tcMar>
            <w:vAlign w:val="center"/>
          </w:tcPr>
          <w:p>
            <w:pPr>
              <w:pStyle w:val="TableContents"/>
              <w:bidi w:val="0"/>
              <w:spacing w:before="0" w:after="283"/>
              <w:jc w:val="right"/>
              <w:rPr/>
            </w:pPr>
            <w:r>
              <w:rPr/>
              <w:t>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10" w:space="0" w:color="000000"/>
            </w:tcBorders>
            <w:shd w:fill="CCEEFF" w:val="clear"/>
            <w:tcMar>
              <w:bottom w:w="28" w:type="dxa"/>
            </w:tcMar>
            <w:vAlign w:val="center"/>
          </w:tcPr>
          <w:p>
            <w:pPr>
              <w:pStyle w:val="TableContents"/>
              <w:bidi w:val="0"/>
              <w:spacing w:before="0" w:after="283"/>
              <w:jc w:val="right"/>
              <w:rPr/>
            </w:pPr>
            <w:r>
              <w:rPr/>
              <w:t>0.17</w:t>
            </w:r>
          </w:p>
        </w:tc>
        <w:tc>
          <w:tcPr>
            <w:tcW w:w="117"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10" w:space="0" w:color="000000"/>
            </w:tcBorders>
            <w:shd w:fill="CCEEFF" w:val="clear"/>
            <w:tcMar>
              <w:bottom w:w="28" w:type="dxa"/>
            </w:tcMar>
            <w:vAlign w:val="center"/>
          </w:tcPr>
          <w:p>
            <w:pPr>
              <w:pStyle w:val="TableContents"/>
              <w:bidi w:val="0"/>
              <w:spacing w:before="0" w:after="283"/>
              <w:jc w:val="right"/>
              <w:rPr/>
            </w:pPr>
            <w:r>
              <w:rPr/>
              <w:t>0.17</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6093" w:type="dxa"/>
            <w:tcBorders/>
            <w:shd w:fill="FFFFFF" w:val="clear"/>
            <w:vAlign w:val="center"/>
          </w:tcPr>
          <w:p>
            <w:pPr>
              <w:pStyle w:val="TableContents"/>
              <w:bidi w:val="0"/>
              <w:spacing w:before="0" w:after="283"/>
              <w:jc w:val="left"/>
              <w:rPr>
                <w:b/>
              </w:rPr>
            </w:pPr>
            <w:r>
              <w:rPr>
                <w:b/>
              </w:rPr>
              <w:t>WEIGHTED AVERAGE NUMBER OF ORDINARY SHARES (in thousands)</w:t>
            </w:r>
          </w:p>
        </w:tc>
        <w:tc>
          <w:tcPr>
            <w:tcW w:w="60" w:type="dxa"/>
            <w:tcBorders/>
            <w:shd w:fill="FFFFFF" w:val="clear"/>
            <w:vAlign w:val="center"/>
          </w:tcPr>
          <w:p>
            <w:pPr>
              <w:pStyle w:val="TableContents"/>
              <w:bidi w:val="0"/>
              <w:spacing w:before="0" w:after="283"/>
              <w:jc w:val="left"/>
              <w:rPr/>
            </w:pPr>
            <w:r>
              <w:rPr/>
              <w:t> </w:t>
            </w:r>
          </w:p>
        </w:tc>
        <w:tc>
          <w:tcPr>
            <w:tcW w:w="6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58" w:type="dxa"/>
            <w:tcBorders>
              <w:bottom w:val="double" w:sz="10" w:space="0" w:color="000000"/>
            </w:tcBorders>
            <w:shd w:fill="FFFFFF" w:val="clear"/>
            <w:tcMar>
              <w:bottom w:w="28" w:type="dxa"/>
            </w:tcMar>
            <w:vAlign w:val="center"/>
          </w:tcPr>
          <w:p>
            <w:pPr>
              <w:pStyle w:val="TableContents"/>
              <w:bidi w:val="0"/>
              <w:spacing w:before="0" w:after="283"/>
              <w:jc w:val="right"/>
              <w:rPr/>
            </w:pPr>
            <w:r>
              <w:rPr/>
              <w:t>69,623</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58" w:type="dxa"/>
            <w:tcBorders>
              <w:bottom w:val="double" w:sz="10" w:space="0" w:color="000000"/>
            </w:tcBorders>
            <w:shd w:fill="FFFFFF" w:val="clear"/>
            <w:tcMar>
              <w:bottom w:w="28" w:type="dxa"/>
            </w:tcMar>
            <w:vAlign w:val="center"/>
          </w:tcPr>
          <w:p>
            <w:pPr>
              <w:pStyle w:val="TableContents"/>
              <w:bidi w:val="0"/>
              <w:spacing w:before="0" w:after="283"/>
              <w:jc w:val="right"/>
              <w:rPr/>
            </w:pPr>
            <w:r>
              <w:rPr/>
              <w:t>63,873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10" w:space="0" w:color="000000"/>
            </w:tcBorders>
            <w:shd w:fill="FFFFFF" w:val="clear"/>
            <w:tcMar>
              <w:bottom w:w="28" w:type="dxa"/>
            </w:tcMar>
            <w:vAlign w:val="center"/>
          </w:tcPr>
          <w:p>
            <w:pPr>
              <w:pStyle w:val="TableContents"/>
              <w:bidi w:val="0"/>
              <w:spacing w:before="0" w:after="283"/>
              <w:jc w:val="right"/>
              <w:rPr/>
            </w:pPr>
            <w:r>
              <w:rPr/>
              <w:t>69,932</w:t>
            </w:r>
          </w:p>
        </w:tc>
        <w:tc>
          <w:tcPr>
            <w:tcW w:w="117"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10" w:space="0" w:color="000000"/>
            </w:tcBorders>
            <w:shd w:fill="FFFFFF" w:val="clear"/>
            <w:tcMar>
              <w:bottom w:w="28" w:type="dxa"/>
            </w:tcMar>
            <w:vAlign w:val="center"/>
          </w:tcPr>
          <w:p>
            <w:pPr>
              <w:pStyle w:val="TableContents"/>
              <w:bidi w:val="0"/>
              <w:spacing w:before="0" w:after="283"/>
              <w:jc w:val="right"/>
              <w:rPr/>
            </w:pPr>
            <w:r>
              <w:rPr/>
              <w:t>63,910</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cost of revenue to Non-GAAP cost of revenue (U.S. dollars in thousands)</w:t>
      </w:r>
    </w:p>
    <w:p>
      <w:pPr>
        <w:pStyle w:val="TextBody"/>
        <w:bidi w:val="0"/>
        <w:spacing w:before="0" w:after="0"/>
        <w:ind w:left="0" w:right="0" w:hanging="0"/>
        <w:jc w:val="both"/>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3125"/>
        <w:gridCol w:w="60"/>
        <w:gridCol w:w="60"/>
        <w:gridCol w:w="680"/>
        <w:gridCol w:w="60"/>
        <w:gridCol w:w="60"/>
        <w:gridCol w:w="60"/>
        <w:gridCol w:w="680"/>
        <w:gridCol w:w="60"/>
        <w:gridCol w:w="60"/>
        <w:gridCol w:w="60"/>
        <w:gridCol w:w="680"/>
        <w:gridCol w:w="60"/>
        <w:gridCol w:w="60"/>
        <w:gridCol w:w="60"/>
        <w:gridCol w:w="560"/>
        <w:gridCol w:w="75"/>
      </w:tblGrid>
      <w:tr>
        <w:trPr/>
        <w:tc>
          <w:tcPr>
            <w:tcW w:w="3125" w:type="dxa"/>
            <w:tcBorders/>
            <w:shd w:fill="CCEEFF" w:val="clear"/>
            <w:vAlign w:val="center"/>
          </w:tcPr>
          <w:p>
            <w:pPr>
              <w:pStyle w:val="TableContents"/>
              <w:bidi w:val="0"/>
              <w:spacing w:before="0" w:after="283"/>
              <w:jc w:val="left"/>
              <w:rPr>
                <w:b/>
              </w:rPr>
            </w:pPr>
            <w:r>
              <w:rPr>
                <w:b/>
              </w:rPr>
              <w:t>GAAP cost of 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54,729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47,830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6,280</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Non-GAAP adjustments: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4,788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5,112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2,556</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Impairment of intangible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40,695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40,695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48</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b/>
              </w:rPr>
            </w:pPr>
            <w:r>
              <w:rPr>
                <w:b/>
              </w:rPr>
              <w:t>Non-GAAP cost of revenue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9,171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6,926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4,704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3,676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gross loss to Non-GAAP gross loss (U.S. dollars in thousands)</w:t>
      </w:r>
    </w:p>
    <w:p>
      <w:pPr>
        <w:pStyle w:val="TextBody"/>
        <w:bidi w:val="0"/>
        <w:spacing w:before="0" w:after="0"/>
        <w:ind w:left="0" w:right="0" w:hanging="0"/>
        <w:jc w:val="both"/>
        <w:rPr>
          <w:caps w:val="false"/>
          <w:smallCaps w:val="false"/>
        </w:rPr>
      </w:pPr>
      <w:r>
        <w:rPr>
          <w:caps w:val="false"/>
          <w:smallCaps w:val="false"/>
        </w:rPr>
        <w:t> </w:t>
      </w:r>
    </w:p>
    <w:tbl>
      <w:tblPr>
        <w:tblW w:w="6780" w:type="dxa"/>
        <w:jc w:val="left"/>
        <w:tblInd w:w="0" w:type="dxa"/>
        <w:tblLayout w:type="fixed"/>
        <w:tblCellMar>
          <w:top w:w="0" w:type="dxa"/>
          <w:left w:w="0" w:type="dxa"/>
          <w:bottom w:w="0" w:type="dxa"/>
          <w:right w:w="0" w:type="dxa"/>
        </w:tblCellMar>
      </w:tblPr>
      <w:tblGrid>
        <w:gridCol w:w="3125"/>
        <w:gridCol w:w="60"/>
        <w:gridCol w:w="60"/>
        <w:gridCol w:w="755"/>
        <w:gridCol w:w="95"/>
        <w:gridCol w:w="60"/>
        <w:gridCol w:w="60"/>
        <w:gridCol w:w="635"/>
        <w:gridCol w:w="95"/>
        <w:gridCol w:w="60"/>
        <w:gridCol w:w="60"/>
        <w:gridCol w:w="755"/>
        <w:gridCol w:w="95"/>
        <w:gridCol w:w="60"/>
        <w:gridCol w:w="60"/>
        <w:gridCol w:w="635"/>
        <w:gridCol w:w="110"/>
      </w:tblGrid>
      <w:tr>
        <w:trPr/>
        <w:tc>
          <w:tcPr>
            <w:tcW w:w="3125" w:type="dxa"/>
            <w:tcBorders/>
            <w:shd w:fill="CCEEFF" w:val="clear"/>
            <w:vAlign w:val="center"/>
          </w:tcPr>
          <w:p>
            <w:pPr>
              <w:pStyle w:val="TableContents"/>
              <w:bidi w:val="0"/>
              <w:spacing w:before="0" w:after="283"/>
              <w:jc w:val="left"/>
              <w:rPr>
                <w:b/>
              </w:rPr>
            </w:pPr>
            <w:r>
              <w:rPr>
                <w:b/>
              </w:rPr>
              <w:t>GAAP gross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(46,262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(6,289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(43,674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(3,240</w:t>
            </w:r>
          </w:p>
        </w:tc>
        <w:tc>
          <w:tcPr>
            <w:tcW w:w="110" w:type="dxa"/>
            <w:tcBorders/>
            <w:shd w:fill="CCEEFF" w:val="clear"/>
            <w:vAlign w:val="center"/>
          </w:tcPr>
          <w:p>
            <w:pPr>
              <w:pStyle w:val="TableContents"/>
              <w:bidi w:val="0"/>
              <w:spacing w:before="0" w:after="283"/>
              <w:jc w:val="left"/>
              <w:rPr/>
            </w:pPr>
            <w:r>
              <w:rPr/>
              <w:t>)</w:t>
            </w:r>
          </w:p>
        </w:tc>
      </w:tr>
      <w:tr>
        <w:trPr/>
        <w:tc>
          <w:tcPr>
            <w:tcW w:w="3125" w:type="dxa"/>
            <w:tcBorders/>
            <w:shd w:fill="FFFFFF" w:val="clear"/>
            <w:vAlign w:val="center"/>
          </w:tcPr>
          <w:p>
            <w:pPr>
              <w:pStyle w:val="TableContents"/>
              <w:bidi w:val="0"/>
              <w:spacing w:before="0" w:after="283"/>
              <w:jc w:val="left"/>
              <w:rPr/>
            </w:pPr>
            <w:r>
              <w:rPr/>
              <w:t>Non-GAAP adjustments: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4,788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5,112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2,394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2,556</w:t>
            </w:r>
          </w:p>
        </w:tc>
        <w:tc>
          <w:tcPr>
            <w:tcW w:w="11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Impairment of intangible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40,695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40,695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106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48</w:t>
            </w:r>
          </w:p>
        </w:tc>
        <w:tc>
          <w:tcPr>
            <w:tcW w:w="11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b/>
              </w:rPr>
            </w:pPr>
            <w:r>
              <w:rPr>
                <w:b/>
              </w:rPr>
              <w:t>Non-GAAP gross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(704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double" w:sz="10" w:space="0" w:color="000000"/>
            </w:tcBorders>
            <w:shd w:fill="FFFFFF" w:val="clear"/>
            <w:tcMar>
              <w:bottom w:w="28" w:type="dxa"/>
            </w:tcMar>
            <w:vAlign w:val="center"/>
          </w:tcPr>
          <w:p>
            <w:pPr>
              <w:pStyle w:val="TableContents"/>
              <w:bidi w:val="0"/>
              <w:spacing w:before="0" w:after="283"/>
              <w:jc w:val="right"/>
              <w:rPr/>
            </w:pPr>
            <w:r>
              <w:rPr/>
              <w:t>(1,071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(548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double" w:sz="10" w:space="0" w:color="000000"/>
            </w:tcBorders>
            <w:shd w:fill="FFFFFF" w:val="clear"/>
            <w:tcMar>
              <w:bottom w:w="28" w:type="dxa"/>
            </w:tcMar>
            <w:vAlign w:val="center"/>
          </w:tcPr>
          <w:p>
            <w:pPr>
              <w:pStyle w:val="TableContents"/>
              <w:bidi w:val="0"/>
              <w:spacing w:before="0" w:after="283"/>
              <w:jc w:val="right"/>
              <w:rPr/>
            </w:pPr>
            <w:r>
              <w:rPr/>
              <w:t>(636</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gross loss margin to Non-GAAP gross profit margin (in percentage of revenue)</w:t>
      </w:r>
    </w:p>
    <w:p>
      <w:pPr>
        <w:pStyle w:val="TextBody"/>
        <w:bidi w:val="0"/>
        <w:spacing w:before="0" w:after="0"/>
        <w:ind w:left="0" w:right="0" w:hanging="0"/>
        <w:jc w:val="both"/>
        <w:rPr>
          <w:caps w:val="false"/>
          <w:smallCaps w:val="false"/>
        </w:rPr>
      </w:pPr>
      <w:r>
        <w:rPr>
          <w:caps w:val="false"/>
          <w:smallCaps w:val="false"/>
        </w:rPr>
        <w:t> </w:t>
      </w:r>
    </w:p>
    <w:tbl>
      <w:tblPr>
        <w:tblW w:w="6780" w:type="dxa"/>
        <w:jc w:val="left"/>
        <w:tblInd w:w="0" w:type="dxa"/>
        <w:tblLayout w:type="fixed"/>
        <w:tblCellMar>
          <w:top w:w="0" w:type="dxa"/>
          <w:left w:w="0" w:type="dxa"/>
          <w:bottom w:w="0" w:type="dxa"/>
          <w:right w:w="0" w:type="dxa"/>
        </w:tblCellMar>
      </w:tblPr>
      <w:tblGrid>
        <w:gridCol w:w="3125"/>
        <w:gridCol w:w="60"/>
        <w:gridCol w:w="60"/>
        <w:gridCol w:w="455"/>
        <w:gridCol w:w="290"/>
        <w:gridCol w:w="60"/>
        <w:gridCol w:w="60"/>
        <w:gridCol w:w="455"/>
        <w:gridCol w:w="290"/>
        <w:gridCol w:w="60"/>
        <w:gridCol w:w="60"/>
        <w:gridCol w:w="635"/>
        <w:gridCol w:w="290"/>
        <w:gridCol w:w="60"/>
        <w:gridCol w:w="60"/>
        <w:gridCol w:w="455"/>
        <w:gridCol w:w="305"/>
      </w:tblGrid>
      <w:tr>
        <w:trPr/>
        <w:tc>
          <w:tcPr>
            <w:tcW w:w="3125" w:type="dxa"/>
            <w:tcBorders/>
            <w:shd w:fill="CCEEFF" w:val="clear"/>
            <w:vAlign w:val="center"/>
          </w:tcPr>
          <w:p>
            <w:pPr>
              <w:pStyle w:val="TableContents"/>
              <w:bidi w:val="0"/>
              <w:spacing w:before="0" w:after="283"/>
              <w:jc w:val="left"/>
              <w:rPr>
                <w:b/>
              </w:rPr>
            </w:pPr>
            <w:r>
              <w:rPr>
                <w:b/>
              </w:rPr>
              <w:t>GAAP gross loss margin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(546</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(107</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(1,051</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(107</w:t>
            </w:r>
          </w:p>
        </w:tc>
        <w:tc>
          <w:tcPr>
            <w:tcW w:w="305" w:type="dxa"/>
            <w:tcBorders/>
            <w:shd w:fill="CCEEFF" w:val="clear"/>
            <w:vAlign w:val="center"/>
          </w:tcPr>
          <w:p>
            <w:pPr>
              <w:pStyle w:val="TableContents"/>
              <w:bidi w:val="0"/>
              <w:spacing w:before="0" w:after="283"/>
              <w:jc w:val="left"/>
              <w:rPr/>
            </w:pPr>
            <w:r>
              <w:rPr/>
              <w:t>)%</w:t>
            </w:r>
          </w:p>
        </w:tc>
      </w:tr>
      <w:tr>
        <w:trPr/>
        <w:tc>
          <w:tcPr>
            <w:tcW w:w="3125" w:type="dxa"/>
            <w:tcBorders/>
            <w:shd w:fill="FFFFFF" w:val="clear"/>
            <w:vAlign w:val="center"/>
          </w:tcPr>
          <w:p>
            <w:pPr>
              <w:pStyle w:val="TableContents"/>
              <w:bidi w:val="0"/>
              <w:spacing w:before="0" w:after="283"/>
              <w:jc w:val="left"/>
              <w:rPr/>
            </w:pPr>
            <w:r>
              <w:rPr/>
              <w:t>Non-GAAP adjustments: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57</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87</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58</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84</w:t>
            </w:r>
          </w:p>
        </w:tc>
        <w:tc>
          <w:tcPr>
            <w:tcW w:w="305" w:type="dxa"/>
            <w:tcBorders/>
            <w:shd w:fill="CCEEFF" w:val="clear"/>
            <w:vAlign w:val="center"/>
          </w:tcPr>
          <w:p>
            <w:pPr>
              <w:pStyle w:val="TableContents"/>
              <w:bidi w:val="0"/>
              <w:spacing w:before="0" w:after="283"/>
              <w:jc w:val="left"/>
              <w:rPr/>
            </w:pPr>
            <w:r>
              <w:rPr/>
              <w:t>%</w:t>
            </w:r>
          </w:p>
        </w:tc>
      </w:tr>
      <w:tr>
        <w:trPr/>
        <w:tc>
          <w:tcPr>
            <w:tcW w:w="3125" w:type="dxa"/>
            <w:tcBorders/>
            <w:shd w:fill="FFFFFF" w:val="clear"/>
            <w:vAlign w:val="center"/>
          </w:tcPr>
          <w:p>
            <w:pPr>
              <w:pStyle w:val="TableContents"/>
              <w:bidi w:val="0"/>
              <w:spacing w:before="0" w:after="283"/>
              <w:jc w:val="left"/>
              <w:rPr/>
            </w:pPr>
            <w:r>
              <w:rPr/>
              <w:t>Impairment of intangible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481</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979</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w:t>
            </w:r>
          </w:p>
        </w:tc>
        <w:tc>
          <w:tcPr>
            <w:tcW w:w="305"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305" w:type="dxa"/>
            <w:tcBorders/>
            <w:shd w:fill="CCEEFF" w:val="clear"/>
            <w:vAlign w:val="center"/>
          </w:tcPr>
          <w:p>
            <w:pPr>
              <w:pStyle w:val="TableContents"/>
              <w:bidi w:val="0"/>
              <w:spacing w:before="0" w:after="283"/>
              <w:jc w:val="left"/>
              <w:rPr/>
            </w:pPr>
            <w:r>
              <w:rPr/>
              <w:t>%</w:t>
            </w:r>
          </w:p>
        </w:tc>
      </w:tr>
      <w:tr>
        <w:trPr/>
        <w:tc>
          <w:tcPr>
            <w:tcW w:w="3125" w:type="dxa"/>
            <w:tcBorders/>
            <w:shd w:fill="FFFFFF" w:val="clear"/>
            <w:vAlign w:val="center"/>
          </w:tcPr>
          <w:p>
            <w:pPr>
              <w:pStyle w:val="TableContents"/>
              <w:bidi w:val="0"/>
              <w:spacing w:before="0" w:after="283"/>
              <w:jc w:val="left"/>
              <w:rPr>
                <w:b/>
              </w:rPr>
            </w:pPr>
            <w:r>
              <w:rPr>
                <w:b/>
              </w:rPr>
              <w:t>Non-GAAP gross loss margin</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double" w:sz="10" w:space="0" w:color="000000"/>
            </w:tcBorders>
            <w:shd w:fill="FFFFFF" w:val="clear"/>
            <w:tcMar>
              <w:bottom w:w="28" w:type="dxa"/>
            </w:tcMar>
            <w:vAlign w:val="center"/>
          </w:tcPr>
          <w:p>
            <w:pPr>
              <w:pStyle w:val="TableContents"/>
              <w:bidi w:val="0"/>
              <w:spacing w:before="0" w:after="283"/>
              <w:jc w:val="right"/>
              <w:rPr/>
            </w:pPr>
            <w:r>
              <w:rPr/>
              <w:t>(8</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double" w:sz="10" w:space="0" w:color="000000"/>
            </w:tcBorders>
            <w:shd w:fill="FFFFFF" w:val="clear"/>
            <w:tcMar>
              <w:bottom w:w="28" w:type="dxa"/>
            </w:tcMar>
            <w:vAlign w:val="center"/>
          </w:tcPr>
          <w:p>
            <w:pPr>
              <w:pStyle w:val="TableContents"/>
              <w:bidi w:val="0"/>
              <w:spacing w:before="0" w:after="283"/>
              <w:jc w:val="right"/>
              <w:rPr/>
            </w:pPr>
            <w:r>
              <w:rPr/>
              <w:t>(18</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double" w:sz="10" w:space="0" w:color="000000"/>
            </w:tcBorders>
            <w:shd w:fill="FFFFFF" w:val="clear"/>
            <w:tcMar>
              <w:bottom w:w="28" w:type="dxa"/>
            </w:tcMar>
            <w:vAlign w:val="center"/>
          </w:tcPr>
          <w:p>
            <w:pPr>
              <w:pStyle w:val="TableContents"/>
              <w:bidi w:val="0"/>
              <w:spacing w:before="0" w:after="283"/>
              <w:jc w:val="right"/>
              <w:rPr/>
            </w:pPr>
            <w:r>
              <w:rPr/>
              <w:t>(13</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double" w:sz="10" w:space="0" w:color="000000"/>
            </w:tcBorders>
            <w:shd w:fill="FFFFFF" w:val="clear"/>
            <w:tcMar>
              <w:bottom w:w="28" w:type="dxa"/>
            </w:tcMar>
            <w:vAlign w:val="center"/>
          </w:tcPr>
          <w:p>
            <w:pPr>
              <w:pStyle w:val="TableContents"/>
              <w:bidi w:val="0"/>
              <w:spacing w:before="0" w:after="283"/>
              <w:jc w:val="right"/>
              <w:rPr/>
            </w:pPr>
            <w:r>
              <w:rPr/>
              <w:t>(21</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research and development expenses to Non-GAAP research and development expenses (U.S. dollars in thousands)</w:t>
      </w:r>
    </w:p>
    <w:p>
      <w:pPr>
        <w:pStyle w:val="TextBody"/>
        <w:bidi w:val="0"/>
        <w:spacing w:before="0" w:after="0"/>
        <w:ind w:left="0" w:right="0" w:hanging="0"/>
        <w:jc w:val="both"/>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4910"/>
        <w:gridCol w:w="60"/>
        <w:gridCol w:w="60"/>
        <w:gridCol w:w="560"/>
        <w:gridCol w:w="60"/>
        <w:gridCol w:w="60"/>
        <w:gridCol w:w="60"/>
        <w:gridCol w:w="560"/>
        <w:gridCol w:w="60"/>
        <w:gridCol w:w="60"/>
        <w:gridCol w:w="60"/>
        <w:gridCol w:w="560"/>
        <w:gridCol w:w="60"/>
        <w:gridCol w:w="60"/>
        <w:gridCol w:w="60"/>
        <w:gridCol w:w="560"/>
        <w:gridCol w:w="75"/>
      </w:tblGrid>
      <w:tr>
        <w:trPr/>
        <w:tc>
          <w:tcPr>
            <w:tcW w:w="4910" w:type="dxa"/>
            <w:tcBorders/>
            <w:shd w:fill="CCEEFF" w:val="clear"/>
            <w:vAlign w:val="center"/>
          </w:tcPr>
          <w:p>
            <w:pPr>
              <w:pStyle w:val="TableContents"/>
              <w:bidi w:val="0"/>
              <w:spacing w:before="0" w:after="283"/>
              <w:jc w:val="left"/>
              <w:rPr>
                <w:b/>
              </w:rPr>
            </w:pPr>
            <w:r>
              <w:rPr>
                <w:b/>
              </w:rPr>
              <w:t>GAAP research and development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9,812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4,707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4,834</w:t>
            </w:r>
          </w:p>
        </w:tc>
        <w:tc>
          <w:tcPr>
            <w:tcW w:w="7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Non-GAAP adjustments: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431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692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337</w:t>
            </w:r>
          </w:p>
        </w:tc>
        <w:tc>
          <w:tcPr>
            <w:tcW w:w="7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b/>
              </w:rPr>
            </w:pPr>
            <w:r>
              <w:rPr>
                <w:b/>
              </w:rPr>
              <w:t>Non-GAAP research and development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9,074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9,120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4,484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pPr>
            <w:r>
              <w:rPr/>
              <w:t>4,497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sales and marketing expenses to Non-GAAP sales and marketing expenses (U.S. dollars in thousands)</w:t>
      </w:r>
    </w:p>
    <w:p>
      <w:pPr>
        <w:pStyle w:val="TextBody"/>
        <w:bidi w:val="0"/>
        <w:spacing w:before="0" w:after="0"/>
        <w:ind w:left="0" w:right="0" w:hanging="0"/>
        <w:jc w:val="left"/>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4265"/>
        <w:gridCol w:w="60"/>
        <w:gridCol w:w="60"/>
        <w:gridCol w:w="560"/>
        <w:gridCol w:w="60"/>
        <w:gridCol w:w="60"/>
        <w:gridCol w:w="60"/>
        <w:gridCol w:w="560"/>
        <w:gridCol w:w="60"/>
        <w:gridCol w:w="60"/>
        <w:gridCol w:w="60"/>
        <w:gridCol w:w="560"/>
        <w:gridCol w:w="60"/>
        <w:gridCol w:w="60"/>
        <w:gridCol w:w="60"/>
        <w:gridCol w:w="560"/>
        <w:gridCol w:w="75"/>
      </w:tblGrid>
      <w:tr>
        <w:trPr/>
        <w:tc>
          <w:tcPr>
            <w:tcW w:w="4265" w:type="dxa"/>
            <w:tcBorders/>
            <w:shd w:fill="CCEEFF" w:val="clear"/>
            <w:vAlign w:val="center"/>
          </w:tcPr>
          <w:p>
            <w:pPr>
              <w:pStyle w:val="TableContents"/>
              <w:bidi w:val="0"/>
              <w:spacing w:before="0" w:after="283"/>
              <w:jc w:val="left"/>
              <w:rPr>
                <w:b/>
              </w:rPr>
            </w:pPr>
            <w:r>
              <w:rPr>
                <w:b/>
              </w:rPr>
              <w:t>GAAP sales and marketing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4,064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1,239</w:t>
            </w:r>
          </w:p>
        </w:tc>
        <w:tc>
          <w:tcPr>
            <w:tcW w:w="75"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pPr>
            <w:r>
              <w:rPr/>
              <w:t>Non-GAAP adjustments: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97</w:t>
            </w:r>
          </w:p>
        </w:tc>
        <w:tc>
          <w:tcPr>
            <w:tcW w:w="75"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232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88</w:t>
            </w:r>
          </w:p>
        </w:tc>
        <w:tc>
          <w:tcPr>
            <w:tcW w:w="75"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left"/>
              <w:rPr>
                <w:b/>
              </w:rPr>
            </w:pPr>
            <w:r>
              <w:rPr>
                <w:b/>
              </w:rPr>
              <w:t>Non-GAAP sales and marketing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3,611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1,812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1,673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1,054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general and administrative expenses to Non-GAAP general and administrative expenses (U.S. dollars in thousands)</w:t>
      </w:r>
    </w:p>
    <w:p>
      <w:pPr>
        <w:pStyle w:val="TextBody"/>
        <w:bidi w:val="0"/>
        <w:spacing w:before="0" w:after="0"/>
        <w:ind w:left="0" w:right="0" w:hanging="0"/>
        <w:jc w:val="left"/>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4955"/>
        <w:gridCol w:w="60"/>
        <w:gridCol w:w="60"/>
        <w:gridCol w:w="680"/>
        <w:gridCol w:w="60"/>
        <w:gridCol w:w="60"/>
        <w:gridCol w:w="60"/>
        <w:gridCol w:w="680"/>
        <w:gridCol w:w="60"/>
        <w:gridCol w:w="60"/>
        <w:gridCol w:w="60"/>
        <w:gridCol w:w="560"/>
        <w:gridCol w:w="60"/>
        <w:gridCol w:w="60"/>
        <w:gridCol w:w="60"/>
        <w:gridCol w:w="560"/>
        <w:gridCol w:w="75"/>
      </w:tblGrid>
      <w:tr>
        <w:trPr/>
        <w:tc>
          <w:tcPr>
            <w:tcW w:w="4955" w:type="dxa"/>
            <w:tcBorders/>
            <w:shd w:fill="CCEEFF" w:val="clear"/>
            <w:vAlign w:val="center"/>
          </w:tcPr>
          <w:p>
            <w:pPr>
              <w:pStyle w:val="TableContents"/>
              <w:bidi w:val="0"/>
              <w:spacing w:before="0" w:after="283"/>
              <w:jc w:val="left"/>
              <w:rPr>
                <w:b/>
              </w:rPr>
            </w:pPr>
            <w:r>
              <w:rPr>
                <w:b/>
              </w:rPr>
              <w:t>GAAP 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10,684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5,444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5,127</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Non-GAAP adjustments: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Class-action litigation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33</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972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1,307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493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638</w:t>
            </w:r>
          </w:p>
        </w:tc>
        <w:tc>
          <w:tcPr>
            <w:tcW w:w="75"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b/>
              </w:rPr>
            </w:pPr>
            <w:r>
              <w:rPr>
                <w:b/>
              </w:rPr>
              <w:t>Non-GAAP 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9,697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8,925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4,936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pPr>
            <w:r>
              <w:rPr/>
              <w:t>4,456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other expenses (income) to Non-GAAP other expenses (income) (U.S. dollars in thousands )</w:t>
      </w:r>
    </w:p>
    <w:p>
      <w:pPr>
        <w:pStyle w:val="TextBody"/>
        <w:bidi w:val="0"/>
        <w:spacing w:before="0" w:after="0"/>
        <w:ind w:left="0" w:right="0" w:hanging="0"/>
        <w:jc w:val="both"/>
        <w:rPr>
          <w:caps w:val="false"/>
          <w:smallCaps w:val="false"/>
        </w:rPr>
      </w:pPr>
      <w:r>
        <w:rPr>
          <w:caps w:val="false"/>
          <w:smallCaps w:val="false"/>
        </w:rPr>
        <w:t> </w:t>
      </w:r>
    </w:p>
    <w:tbl>
      <w:tblPr>
        <w:tblW w:w="8945" w:type="dxa"/>
        <w:jc w:val="left"/>
        <w:tblInd w:w="0" w:type="dxa"/>
        <w:tblLayout w:type="fixed"/>
        <w:tblCellMar>
          <w:top w:w="0" w:type="dxa"/>
          <w:left w:w="0" w:type="dxa"/>
          <w:bottom w:w="0" w:type="dxa"/>
          <w:right w:w="0" w:type="dxa"/>
        </w:tblCellMar>
      </w:tblPr>
      <w:tblGrid>
        <w:gridCol w:w="6710"/>
        <w:gridCol w:w="60"/>
        <w:gridCol w:w="60"/>
        <w:gridCol w:w="455"/>
        <w:gridCol w:w="95"/>
        <w:gridCol w:w="60"/>
        <w:gridCol w:w="60"/>
        <w:gridCol w:w="260"/>
        <w:gridCol w:w="60"/>
        <w:gridCol w:w="60"/>
        <w:gridCol w:w="60"/>
        <w:gridCol w:w="455"/>
        <w:gridCol w:w="95"/>
        <w:gridCol w:w="60"/>
        <w:gridCol w:w="60"/>
        <w:gridCol w:w="260"/>
        <w:gridCol w:w="75"/>
      </w:tblGrid>
      <w:tr>
        <w:trPr/>
        <w:tc>
          <w:tcPr>
            <w:tcW w:w="6710" w:type="dxa"/>
            <w:tcBorders/>
            <w:shd w:fill="CCEEFF" w:val="clear"/>
            <w:vAlign w:val="center"/>
          </w:tcPr>
          <w:p>
            <w:pPr>
              <w:pStyle w:val="TableContents"/>
              <w:bidi w:val="0"/>
              <w:spacing w:before="0" w:after="283"/>
              <w:ind w:left="0" w:right="0" w:hanging="180"/>
              <w:jc w:val="left"/>
              <w:rPr>
                <w:b/>
              </w:rPr>
            </w:pPr>
            <w:r>
              <w:rPr>
                <w:b/>
              </w:rPr>
              <w:t>GAAP Other expenses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(507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(247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51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710" w:type="dxa"/>
            <w:tcBorders/>
            <w:shd w:fill="FFFFFF" w:val="clear"/>
            <w:vAlign w:val="center"/>
          </w:tcPr>
          <w:p>
            <w:pPr>
              <w:pStyle w:val="TableContents"/>
              <w:bidi w:val="0"/>
              <w:spacing w:before="0" w:after="283"/>
              <w:jc w:val="left"/>
              <w:rPr/>
            </w:pPr>
            <w:r>
              <w:rPr/>
              <w:t>Non-GAAP adjustments: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710" w:type="dxa"/>
            <w:tcBorders/>
            <w:shd w:fill="CCEEFF" w:val="clear"/>
            <w:vAlign w:val="center"/>
          </w:tcPr>
          <w:p>
            <w:pPr>
              <w:pStyle w:val="TableContents"/>
              <w:bidi w:val="0"/>
              <w:spacing w:before="0" w:after="283"/>
              <w:jc w:val="left"/>
              <w:rPr/>
            </w:pPr>
            <w:r>
              <w:rPr/>
              <w:t>Change in accrual in connection with the settlement with a shareholder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482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243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710" w:type="dxa"/>
            <w:tcBorders/>
            <w:shd w:fill="FFFFFF" w:val="clear"/>
            <w:vAlign w:val="center"/>
          </w:tcPr>
          <w:p>
            <w:pPr>
              <w:pStyle w:val="TableContents"/>
              <w:bidi w:val="0"/>
              <w:spacing w:before="0" w:after="283"/>
              <w:jc w:val="left"/>
              <w:rPr>
                <w:b/>
              </w:rPr>
            </w:pPr>
            <w:r>
              <w:rPr>
                <w:b/>
              </w:rPr>
              <w:t>Non-GAAP Other expenses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double" w:sz="10" w:space="0" w:color="000000"/>
            </w:tcBorders>
            <w:shd w:fill="FFFFFF" w:val="clear"/>
            <w:tcMar>
              <w:bottom w:w="28" w:type="dxa"/>
            </w:tcMar>
            <w:vAlign w:val="center"/>
          </w:tcPr>
          <w:p>
            <w:pPr>
              <w:pStyle w:val="TableContents"/>
              <w:bidi w:val="0"/>
              <w:spacing w:before="0" w:after="283"/>
              <w:jc w:val="right"/>
              <w:rPr/>
            </w:pPr>
            <w:r>
              <w:rPr/>
              <w:t>(25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260" w:type="dxa"/>
            <w:tcBorders>
              <w:bottom w:val="double" w:sz="10" w:space="0" w:color="000000"/>
            </w:tcBorders>
            <w:shd w:fill="FFFFFF" w:val="clear"/>
            <w:tcMar>
              <w:bottom w:w="28" w:type="dxa"/>
            </w:tcMar>
            <w:vAlign w:val="center"/>
          </w:tcPr>
          <w:p>
            <w:pPr>
              <w:pStyle w:val="TableContents"/>
              <w:bidi w:val="0"/>
              <w:spacing w:before="0" w:after="283"/>
              <w:jc w:val="right"/>
              <w:rPr/>
            </w:pPr>
            <w:r>
              <w:rPr/>
              <w:t>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double" w:sz="10" w:space="0" w:color="000000"/>
            </w:tcBorders>
            <w:shd w:fill="FFFFFF" w:val="clear"/>
            <w:tcMar>
              <w:bottom w:w="28" w:type="dxa"/>
            </w:tcM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260" w:type="dxa"/>
            <w:tcBorders>
              <w:bottom w:val="double" w:sz="10" w:space="0" w:color="000000"/>
            </w:tcBorders>
            <w:shd w:fill="FFFFFF" w:val="clear"/>
            <w:tcMar>
              <w:bottom w:w="28" w:type="dxa"/>
            </w:tcMar>
            <w:vAlign w:val="center"/>
          </w:tcPr>
          <w:p>
            <w:pPr>
              <w:pStyle w:val="TableContents"/>
              <w:bidi w:val="0"/>
              <w:spacing w:before="0" w:after="283"/>
              <w:jc w:val="right"/>
              <w:rPr/>
            </w:pPr>
            <w:r>
              <w:rPr/>
              <w:t>51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 w:name="ea030482601ex99-3.htm"/>
      <w:bookmarkStart w:id="7" w:name="ksea030482601ex993"/>
      <w:bookmarkEnd w:id="6"/>
      <w:bookmarkEnd w:id="7"/>
      <w:r>
        <w:rPr>
          <w:rFonts w:ascii="Times New Roman;Times;Serif" w:hAnsi="Times New Roman;Times;Serif"/>
          <w:b/>
          <w:i w:val="false"/>
          <w:caps w:val="false"/>
          <w:smallCaps w:val="false"/>
          <w:sz w:val="20"/>
        </w:rPr>
        <w:t>Exhibit 99.3</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and Financial Review and Prospects as of, and for the Six Months Ended, 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and analysis of our operating and financial condition, results and prospects as of, and for the six months ended, June 30, 2026 (this “</w:t>
      </w:r>
      <w:r>
        <w:rPr>
          <w:rFonts w:ascii="Times New Roman;Times;Serif" w:hAnsi="Times New Roman;Times;Serif"/>
          <w:b/>
          <w:i w:val="false"/>
          <w:caps w:val="false"/>
          <w:smallCaps w:val="false"/>
          <w:sz w:val="20"/>
        </w:rPr>
        <w:t>OFRP</w:t>
      </w:r>
      <w:r>
        <w:rPr>
          <w:rFonts w:ascii="Times New Roman;Times;Serif" w:hAnsi="Times New Roman;Times;Serif"/>
          <w:b w:val="false"/>
          <w:i w:val="false"/>
          <w:caps w:val="false"/>
          <w:smallCaps w:val="false"/>
          <w:sz w:val="20"/>
        </w:rPr>
        <w:t>”) should be read in conjunction with our unaudited interim condensed consolidated financial statements and the related notes that are included as an exhibit to the report of foreign private issuer on Form 6-K being furnished by Nano-X Imaging Ltd. (“</w:t>
      </w:r>
      <w:r>
        <w:rPr>
          <w:rFonts w:ascii="Times New Roman;Times;Serif" w:hAnsi="Times New Roman;Times;Serif"/>
          <w:b/>
          <w:i w:val="false"/>
          <w:caps w:val="false"/>
          <w:smallCaps w:val="false"/>
          <w:sz w:val="20"/>
        </w:rPr>
        <w:t>Nanox</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our company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to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today. This discussion contains forward-looking statements based upon current expectations that involve risks and uncertainties. Our actual results may differ materially from those anticipated in these forward-looking statements as a result of various factors, including those risk factors discussed in “Item 3. Key Information— D. Risk Factors” in our annual report on Form 20-F for the year ended December 31, 2025, filed with the SEC on April 30, 2026 (the “</w:t>
      </w:r>
      <w:r>
        <w:rPr>
          <w:rFonts w:ascii="Times New Roman;Times;Serif" w:hAnsi="Times New Roman;Times;Serif"/>
          <w:b/>
          <w:i w:val="false"/>
          <w:caps w:val="false"/>
          <w:smallCaps w:val="false"/>
          <w:sz w:val="20"/>
        </w:rPr>
        <w:t>2025 annual report</w:t>
      </w:r>
      <w:r>
        <w:rPr>
          <w:rFonts w:ascii="Times New Roman;Times;Serif" w:hAnsi="Times New Roman;Times;Serif"/>
          <w:b w:val="false"/>
          <w:i w:val="false"/>
          <w:caps w:val="false"/>
          <w:smallCaps w:val="false"/>
          <w:sz w:val="20"/>
        </w:rPr>
        <w:t>”), as updated in Nanox’s reports and disclosure documents filed with or furnished to the SEC since that time. Our interim condensed consolidated financial statements have been prepared in accordance with U.S. GAAP. The functional currency of Nanox is the U.S. dollar.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six months ended June 30, 2026 and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analyze below various components of our results of operations for the six months ended June 30, 2026 (the “</w:t>
      </w:r>
      <w:r>
        <w:rPr>
          <w:rFonts w:ascii="Times New Roman;Times;Serif" w:hAnsi="Times New Roman;Times;Serif"/>
          <w:b/>
          <w:i w:val="false"/>
          <w:caps w:val="false"/>
          <w:smallCaps w:val="false"/>
          <w:sz w:val="20"/>
        </w:rPr>
        <w:t>Reported Period</w:t>
      </w:r>
      <w:r>
        <w:rPr>
          <w:rFonts w:ascii="Times New Roman;Times;Serif" w:hAnsi="Times New Roman;Times;Serif"/>
          <w:b w:val="false"/>
          <w:i w:val="false"/>
          <w:caps w:val="false"/>
          <w:smallCaps w:val="false"/>
          <w:sz w:val="20"/>
        </w:rPr>
        <w:t>”) as compared to the six months ended June 30, 2025 (the “</w:t>
      </w:r>
      <w:r>
        <w:rPr>
          <w:rFonts w:ascii="Times New Roman;Times;Serif" w:hAnsi="Times New Roman;Times;Serif"/>
          <w:b/>
          <w:i w:val="false"/>
          <w:caps w:val="false"/>
          <w:smallCaps w:val="false"/>
          <w:sz w:val="20"/>
        </w:rPr>
        <w:t>Comparable Period</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our revenue, by segment and overall, during the subject periods:</w:t>
      </w:r>
    </w:p>
    <w:p>
      <w:pPr>
        <w:pStyle w:val="TextBody"/>
        <w:bidi w:val="0"/>
        <w:spacing w:before="0" w:after="0"/>
        <w:ind w:left="0" w:right="0" w:firstLine="360"/>
        <w:jc w:val="both"/>
        <w:rPr>
          <w:caps w:val="false"/>
          <w:smallCaps w:val="false"/>
        </w:rPr>
      </w:pPr>
      <w:r>
        <w:rPr>
          <w:caps w:val="false"/>
          <w:smallCaps w:val="false"/>
        </w:rPr>
        <w:t> </w:t>
      </w:r>
    </w:p>
    <w:tbl>
      <w:tblPr>
        <w:tblW w:w="3833" w:type="dxa"/>
        <w:jc w:val="left"/>
        <w:tblInd w:w="0" w:type="dxa"/>
        <w:tblLayout w:type="fixed"/>
        <w:tblCellMar>
          <w:top w:w="0" w:type="dxa"/>
          <w:left w:w="0" w:type="dxa"/>
          <w:bottom w:w="0" w:type="dxa"/>
          <w:right w:w="0" w:type="dxa"/>
        </w:tblCellMar>
      </w:tblPr>
      <w:tblGrid>
        <w:gridCol w:w="2150"/>
        <w:gridCol w:w="60"/>
        <w:gridCol w:w="144"/>
        <w:gridCol w:w="561"/>
        <w:gridCol w:w="69"/>
        <w:gridCol w:w="69"/>
        <w:gridCol w:w="144"/>
        <w:gridCol w:w="561"/>
        <w:gridCol w:w="75"/>
      </w:tblGrid>
      <w:tr>
        <w:trPr/>
        <w:tc>
          <w:tcPr>
            <w:tcW w:w="21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48"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Six Months Ended</w:t>
              <w:br/>
              <w:t>June 30,</w:t>
            </w:r>
          </w:p>
        </w:tc>
        <w:tc>
          <w:tcPr>
            <w:tcW w:w="75"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0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2026</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0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48"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 in thousands)</w:t>
            </w:r>
          </w:p>
        </w:tc>
        <w:tc>
          <w:tcPr>
            <w:tcW w:w="75" w:type="dxa"/>
            <w:tcBorders/>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283"/>
              <w:jc w:val="both"/>
              <w:rPr>
                <w:sz w:val="20"/>
              </w:rPr>
            </w:pPr>
            <w:r>
              <w:rPr>
                <w:sz w:val="20"/>
              </w:rPr>
              <w:t>Teleradiology services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sz w:val="20"/>
              </w:rPr>
            </w:pPr>
            <w:r>
              <w:rPr>
                <w:sz w:val="20"/>
              </w:rPr>
              <w:t>$</w:t>
            </w:r>
          </w:p>
        </w:tc>
        <w:tc>
          <w:tcPr>
            <w:tcW w:w="561" w:type="dxa"/>
            <w:tcBorders/>
            <w:shd w:fill="CCEEFF" w:val="clear"/>
            <w:vAlign w:val="center"/>
          </w:tcPr>
          <w:p>
            <w:pPr>
              <w:pStyle w:val="TableContents"/>
              <w:bidi w:val="0"/>
              <w:spacing w:before="0" w:after="283"/>
              <w:jc w:val="right"/>
              <w:rPr>
                <w:sz w:val="20"/>
              </w:rPr>
            </w:pPr>
            <w:r>
              <w:rPr>
                <w:sz w:val="20"/>
              </w:rPr>
              <w:t>6,055</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sz w:val="20"/>
              </w:rPr>
            </w:pPr>
            <w:r>
              <w:rPr>
                <w:sz w:val="20"/>
              </w:rPr>
              <w:t>$</w:t>
            </w:r>
          </w:p>
        </w:tc>
        <w:tc>
          <w:tcPr>
            <w:tcW w:w="561" w:type="dxa"/>
            <w:tcBorders/>
            <w:shd w:fill="CCEEFF" w:val="clear"/>
            <w:vAlign w:val="center"/>
          </w:tcPr>
          <w:p>
            <w:pPr>
              <w:pStyle w:val="TableContents"/>
              <w:bidi w:val="0"/>
              <w:spacing w:before="0" w:after="283"/>
              <w:jc w:val="right"/>
              <w:rPr>
                <w:sz w:val="20"/>
              </w:rPr>
            </w:pPr>
            <w:r>
              <w:rPr>
                <w:sz w:val="20"/>
              </w:rPr>
              <w:t>5,328</w:t>
            </w:r>
          </w:p>
        </w:tc>
        <w:tc>
          <w:tcPr>
            <w:tcW w:w="75" w:type="dxa"/>
            <w:tcBorders/>
            <w:shd w:fill="CCEE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both"/>
              <w:rPr>
                <w:sz w:val="20"/>
              </w:rPr>
            </w:pPr>
            <w:r>
              <w:rPr>
                <w:sz w:val="20"/>
              </w:rPr>
              <w:t>Nanox.ARC</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sz w:val="20"/>
              </w:rPr>
            </w:pPr>
            <w:r>
              <w:rPr>
                <w:sz w:val="20"/>
              </w:rPr>
              <w:t>329</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sz w:val="20"/>
              </w:rPr>
            </w:pPr>
            <w:r>
              <w:rPr>
                <w:sz w:val="20"/>
              </w:rPr>
              <w:t>254</w:t>
            </w:r>
          </w:p>
        </w:tc>
        <w:tc>
          <w:tcPr>
            <w:tcW w:w="75" w:type="dxa"/>
            <w:tcBorders/>
            <w:shd w:fill="FFFFFF" w:val="clear"/>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283"/>
              <w:jc w:val="both"/>
              <w:rPr>
                <w:sz w:val="20"/>
              </w:rPr>
            </w:pPr>
            <w:r>
              <w:rPr>
                <w:sz w:val="20"/>
              </w:rPr>
              <w:t>AI and Software Solutions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1"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2,083</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1"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273</w:t>
            </w:r>
          </w:p>
        </w:tc>
        <w:tc>
          <w:tcPr>
            <w:tcW w:w="75" w:type="dxa"/>
            <w:tcBorders/>
            <w:shd w:fill="CCEE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both"/>
              <w:rPr>
                <w:sz w:val="20"/>
              </w:rPr>
            </w:pPr>
            <w:r>
              <w:rPr>
                <w:sz w:val="20"/>
              </w:rPr>
              <w:t>Total</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61" w:type="dxa"/>
            <w:tcBorders>
              <w:bottom w:val="double" w:sz="10" w:space="0" w:color="000000"/>
            </w:tcBorders>
            <w:shd w:fill="FFFFFF" w:val="clear"/>
            <w:tcMar>
              <w:bottom w:w="28" w:type="dxa"/>
            </w:tcMar>
            <w:vAlign w:val="center"/>
          </w:tcPr>
          <w:p>
            <w:pPr>
              <w:pStyle w:val="TableContents"/>
              <w:bidi w:val="0"/>
              <w:spacing w:before="0" w:after="283"/>
              <w:jc w:val="right"/>
              <w:rPr>
                <w:sz w:val="20"/>
              </w:rPr>
            </w:pPr>
            <w:r>
              <w:rPr>
                <w:sz w:val="20"/>
              </w:rPr>
              <w:t>8,467</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61" w:type="dxa"/>
            <w:tcBorders>
              <w:bottom w:val="double" w:sz="10" w:space="0" w:color="000000"/>
            </w:tcBorders>
            <w:shd w:fill="FFFFFF" w:val="clear"/>
            <w:tcMar>
              <w:bottom w:w="28" w:type="dxa"/>
            </w:tcMar>
            <w:vAlign w:val="center"/>
          </w:tcPr>
          <w:p>
            <w:pPr>
              <w:pStyle w:val="TableContents"/>
              <w:bidi w:val="0"/>
              <w:spacing w:before="0" w:after="283"/>
              <w:jc w:val="right"/>
              <w:rPr>
                <w:sz w:val="20"/>
              </w:rPr>
            </w:pPr>
            <w:r>
              <w:rPr>
                <w:sz w:val="20"/>
              </w:rPr>
              <w:t>5,855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Reported Period, we reported revenue of $8.5 million, compared to $5.9 million for the Comparable Period, an increase of 45%. During the Reported Period, we generated revenue through teleradiology services in an amount of $6.1 million, the sale and deployment of our Nanox.ARC systems in an amount of $0.3 million, and the sale of AI and Software Solutions in an amount of $2.1 million. The increase in revenue from teleradiology services during the Reported Period was $0.7 million, or 14%. The increase in revenue from the sale and deployment of our Nanox.ARC systems during the Reported Period was $0.1 million, or 30%. The increase in revenue from AI and Software Solutions during the Reported Period was $1.7 million, or 663%. The increase in revenue from teleradiology services during the Reported Period relative to the Comparable Period was primarily due to higher demand for teleradiology services. The increase in revenue from AI and Software Solutions during the Reported Period relative to the Comparable Period was primarily due to the consolidation of the Nanox Health IT business, which accounted for $1.8 million of revenue in the Reported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our cost of revenue incurred by segment and overall during the periods presented:</w:t>
      </w:r>
    </w:p>
    <w:p>
      <w:pPr>
        <w:pStyle w:val="TextBody"/>
        <w:bidi w:val="0"/>
        <w:spacing w:before="0" w:after="0"/>
        <w:ind w:left="0" w:right="0" w:firstLine="360"/>
        <w:jc w:val="both"/>
        <w:rPr>
          <w:caps w:val="false"/>
          <w:smallCaps w:val="false"/>
        </w:rPr>
      </w:pPr>
      <w:r>
        <w:rPr>
          <w:caps w:val="false"/>
          <w:smallCaps w:val="false"/>
        </w:rPr>
        <w:t> </w:t>
      </w:r>
    </w:p>
    <w:tbl>
      <w:tblPr>
        <w:tblW w:w="3877" w:type="dxa"/>
        <w:jc w:val="left"/>
        <w:tblInd w:w="0" w:type="dxa"/>
        <w:tblLayout w:type="fixed"/>
        <w:tblCellMar>
          <w:top w:w="0" w:type="dxa"/>
          <w:left w:w="0" w:type="dxa"/>
          <w:bottom w:w="0" w:type="dxa"/>
          <w:right w:w="0" w:type="dxa"/>
        </w:tblCellMar>
      </w:tblPr>
      <w:tblGrid>
        <w:gridCol w:w="2150"/>
        <w:gridCol w:w="60"/>
        <w:gridCol w:w="128"/>
        <w:gridCol w:w="607"/>
        <w:gridCol w:w="61"/>
        <w:gridCol w:w="61"/>
        <w:gridCol w:w="128"/>
        <w:gridCol w:w="607"/>
        <w:gridCol w:w="75"/>
      </w:tblGrid>
      <w:tr>
        <w:trPr/>
        <w:tc>
          <w:tcPr>
            <w:tcW w:w="21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92"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Six Months Ended </w:t>
              <w:br/>
              <w:t>June 30,</w:t>
            </w:r>
          </w:p>
        </w:tc>
        <w:tc>
          <w:tcPr>
            <w:tcW w:w="75"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3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2026</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3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2"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 in thousands)</w:t>
            </w:r>
          </w:p>
        </w:tc>
        <w:tc>
          <w:tcPr>
            <w:tcW w:w="75" w:type="dxa"/>
            <w:tcBorders/>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283"/>
              <w:jc w:val="both"/>
              <w:rPr>
                <w:sz w:val="20"/>
              </w:rPr>
            </w:pPr>
            <w:r>
              <w:rPr>
                <w:sz w:val="20"/>
              </w:rPr>
              <w:t>Teleradiology services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sz w:val="20"/>
              </w:rPr>
            </w:pPr>
            <w:r>
              <w:rPr>
                <w:sz w:val="20"/>
              </w:rPr>
              <w:t>$</w:t>
            </w:r>
          </w:p>
        </w:tc>
        <w:tc>
          <w:tcPr>
            <w:tcW w:w="607" w:type="dxa"/>
            <w:tcBorders/>
            <w:shd w:fill="CCEEFF" w:val="clear"/>
            <w:vAlign w:val="center"/>
          </w:tcPr>
          <w:p>
            <w:pPr>
              <w:pStyle w:val="TableContents"/>
              <w:bidi w:val="0"/>
              <w:spacing w:before="0" w:after="283"/>
              <w:jc w:val="right"/>
              <w:rPr>
                <w:sz w:val="20"/>
              </w:rPr>
            </w:pPr>
            <w:r>
              <w:rPr>
                <w:sz w:val="20"/>
              </w:rPr>
              <w:t>4,785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sz w:val="20"/>
              </w:rPr>
            </w:pPr>
            <w:r>
              <w:rPr>
                <w:sz w:val="20"/>
              </w:rPr>
              <w:t>$</w:t>
            </w:r>
          </w:p>
        </w:tc>
        <w:tc>
          <w:tcPr>
            <w:tcW w:w="607" w:type="dxa"/>
            <w:tcBorders/>
            <w:shd w:fill="CCEEFF" w:val="clear"/>
            <w:vAlign w:val="center"/>
          </w:tcPr>
          <w:p>
            <w:pPr>
              <w:pStyle w:val="TableContents"/>
              <w:bidi w:val="0"/>
              <w:spacing w:before="0" w:after="283"/>
              <w:jc w:val="right"/>
              <w:rPr>
                <w:sz w:val="20"/>
              </w:rPr>
            </w:pPr>
            <w:r>
              <w:rPr>
                <w:sz w:val="20"/>
              </w:rPr>
              <w:t>4,402</w:t>
            </w:r>
          </w:p>
        </w:tc>
        <w:tc>
          <w:tcPr>
            <w:tcW w:w="75" w:type="dxa"/>
            <w:tcBorders/>
            <w:shd w:fill="CCEE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both"/>
              <w:rPr>
                <w:sz w:val="20"/>
              </w:rPr>
            </w:pPr>
            <w:r>
              <w:rPr>
                <w:sz w:val="20"/>
              </w:rPr>
              <w:t>Nanox.ARC</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right"/>
              <w:rPr>
                <w:sz w:val="20"/>
              </w:rPr>
            </w:pPr>
            <w:r>
              <w:rPr>
                <w:sz w:val="20"/>
              </w:rPr>
              <w:t>3,713</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right"/>
              <w:rPr>
                <w:sz w:val="20"/>
              </w:rPr>
            </w:pPr>
            <w:r>
              <w:rPr>
                <w:sz w:val="20"/>
              </w:rPr>
              <w:t>3,570</w:t>
            </w:r>
          </w:p>
        </w:tc>
        <w:tc>
          <w:tcPr>
            <w:tcW w:w="75" w:type="dxa"/>
            <w:tcBorders/>
            <w:shd w:fill="FFFFFF" w:val="clear"/>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283"/>
              <w:jc w:val="both"/>
              <w:rPr>
                <w:sz w:val="20"/>
              </w:rPr>
            </w:pPr>
            <w:r>
              <w:rPr>
                <w:sz w:val="20"/>
              </w:rPr>
              <w:t>AI and Software Solutions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7"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5,536</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7"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4,172</w:t>
            </w:r>
          </w:p>
        </w:tc>
        <w:tc>
          <w:tcPr>
            <w:tcW w:w="75" w:type="dxa"/>
            <w:tcBorders/>
            <w:shd w:fill="CCEE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both"/>
              <w:rPr>
                <w:sz w:val="20"/>
              </w:rPr>
            </w:pPr>
            <w:r>
              <w:rPr>
                <w:sz w:val="20"/>
              </w:rPr>
              <w:t>Total</w:t>
            </w:r>
          </w:p>
        </w:tc>
        <w:tc>
          <w:tcPr>
            <w:tcW w:w="60" w:type="dxa"/>
            <w:tcBorders/>
            <w:shd w:fill="FFFFFF" w:val="clear"/>
            <w:vAlign w:val="center"/>
          </w:tcPr>
          <w:p>
            <w:pPr>
              <w:pStyle w:val="TableContents"/>
              <w:bidi w:val="0"/>
              <w:spacing w:before="0" w:after="283"/>
              <w:jc w:val="left"/>
              <w:rPr/>
            </w:pPr>
            <w:r>
              <w:rPr/>
              <w:t> </w:t>
            </w:r>
          </w:p>
        </w:tc>
        <w:tc>
          <w:tcPr>
            <w:tcW w:w="128" w:type="dxa"/>
            <w:tcBorders>
              <w:bottom w:val="double" w:sz="10"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7" w:type="dxa"/>
            <w:tcBorders>
              <w:bottom w:val="double" w:sz="10" w:space="0" w:color="000000"/>
            </w:tcBorders>
            <w:shd w:fill="FFFFFF" w:val="clear"/>
            <w:tcMar>
              <w:bottom w:w="28" w:type="dxa"/>
            </w:tcMar>
            <w:vAlign w:val="center"/>
          </w:tcPr>
          <w:p>
            <w:pPr>
              <w:pStyle w:val="TableContents"/>
              <w:bidi w:val="0"/>
              <w:spacing w:before="0" w:after="283"/>
              <w:jc w:val="right"/>
              <w:rPr>
                <w:sz w:val="20"/>
              </w:rPr>
            </w:pPr>
            <w:r>
              <w:rPr>
                <w:sz w:val="20"/>
              </w:rPr>
              <w:t>14,034</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bottom w:val="double" w:sz="10"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7" w:type="dxa"/>
            <w:tcBorders>
              <w:bottom w:val="double" w:sz="10" w:space="0" w:color="000000"/>
            </w:tcBorders>
            <w:shd w:fill="FFFFFF" w:val="clear"/>
            <w:tcMar>
              <w:bottom w:w="28" w:type="dxa"/>
            </w:tcMar>
            <w:vAlign w:val="center"/>
          </w:tcPr>
          <w:p>
            <w:pPr>
              <w:pStyle w:val="TableContents"/>
              <w:bidi w:val="0"/>
              <w:spacing w:before="0" w:after="283"/>
              <w:jc w:val="right"/>
              <w:rPr>
                <w:sz w:val="20"/>
              </w:rPr>
            </w:pPr>
            <w:r>
              <w:rPr>
                <w:sz w:val="20"/>
              </w:rPr>
              <w:t>12,144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Reported Period, we reported cost of revenue of $14.0 million, compared to $12.1 million for the Comparable Period, an increase of 16%. The increase in total cost of revenue was driven primarily by the AI and Software Solutions segment. The growth in this segment was driven primarily by the consolidation of the Nanox Health IT business, which accounted for $1.4 million of cost of revenue in the Reported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Reported Period, we incurred cost of revenue: for the sale of teleradiology services in an amount of $4.8 million, representing an increase of 9%; for the sale of Nanox.ARC systems in an amount of $3.7 million, representing an increase of 4%; and for the sale of AI and Software Solutions in an amount of $5.5 million, representing an increase of 33%.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Reported Period, the cost of revenue through the sale of teleradiology services consisted mainly of the cost of radiologists and the cost of picture archiving and communication software in an amount of $3.7 million and amortization of intangible assets of $0.8 million. During the Comparable Period, the cost of revenue through the sale of teleradiology services consisted mainly of the cost of radiologists and the cost of picture archiving and communication software in an amount of $3.3 million and amortization of intangible assets of $1.1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Reported Period, the cost of revenue through the sale of Nanox.ARC systems consisted mainly of cost of labor in an amount of $1.1 million and cost of materials in an amount of $1.2 million. During the Comparable Period, the cost of revenue through the sale of Nanox.ARC systems consisted mainly of cost of labor in an amount of $0.9 million and cost of materials in an amount of $1.8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Reported Period, the cost of revenue through the sale of AI and Software Solutions consisted mainly of salaries and wages expenses in an amount of $0.3 million, amortization of intangible assets of $4.0 million, and software subscription and support of $0.9 million. During the Comparable Period, the cost of revenue through the sale of AI and Software Solutions consisted mainly of salaries and wages expense in an amount of $0.2 million and amortization of intangible assets of $4.0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 – Impairment of Intangible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our Cost of Revenue – Impairment of Intangible Assets incurred by segment and overall during the periods presented:</w:t>
      </w:r>
    </w:p>
    <w:p>
      <w:pPr>
        <w:pStyle w:val="TextBody"/>
        <w:bidi w:val="0"/>
        <w:spacing w:before="0" w:after="0"/>
        <w:ind w:left="0" w:right="0" w:firstLine="360"/>
        <w:jc w:val="both"/>
        <w:rPr>
          <w:caps w:val="false"/>
          <w:smallCaps w:val="false"/>
        </w:rPr>
      </w:pPr>
      <w:r>
        <w:rPr>
          <w:caps w:val="false"/>
          <w:smallCaps w:val="false"/>
        </w:rPr>
        <w:t> </w:t>
      </w:r>
    </w:p>
    <w:tbl>
      <w:tblPr>
        <w:tblW w:w="4004" w:type="dxa"/>
        <w:jc w:val="left"/>
        <w:tblInd w:w="0" w:type="dxa"/>
        <w:tblLayout w:type="fixed"/>
        <w:tblCellMar>
          <w:top w:w="0" w:type="dxa"/>
          <w:left w:w="0" w:type="dxa"/>
          <w:bottom w:w="0" w:type="dxa"/>
          <w:right w:w="0" w:type="dxa"/>
        </w:tblCellMar>
      </w:tblPr>
      <w:tblGrid>
        <w:gridCol w:w="2150"/>
        <w:gridCol w:w="60"/>
        <w:gridCol w:w="191"/>
        <w:gridCol w:w="904"/>
        <w:gridCol w:w="92"/>
        <w:gridCol w:w="92"/>
        <w:gridCol w:w="268"/>
        <w:gridCol w:w="172"/>
        <w:gridCol w:w="75"/>
      </w:tblGrid>
      <w:tr>
        <w:trPr/>
        <w:tc>
          <w:tcPr>
            <w:tcW w:w="21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19"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Six Months Ended </w:t>
              <w:br/>
              <w:t>June 30,</w:t>
            </w:r>
          </w:p>
        </w:tc>
        <w:tc>
          <w:tcPr>
            <w:tcW w:w="75"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9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2026</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9"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 in thousands)</w:t>
            </w:r>
          </w:p>
        </w:tc>
        <w:tc>
          <w:tcPr>
            <w:tcW w:w="75" w:type="dxa"/>
            <w:tcBorders/>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283"/>
              <w:jc w:val="both"/>
              <w:rPr>
                <w:sz w:val="20"/>
              </w:rPr>
            </w:pPr>
            <w:r>
              <w:rPr>
                <w:sz w:val="20"/>
              </w:rPr>
              <w:t>Teleradiology services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sz w:val="20"/>
              </w:rPr>
            </w:pPr>
            <w:r>
              <w:rPr>
                <w:sz w:val="20"/>
              </w:rPr>
              <w:t>$</w:t>
            </w:r>
          </w:p>
        </w:tc>
        <w:tc>
          <w:tcPr>
            <w:tcW w:w="904" w:type="dxa"/>
            <w:tcBorders/>
            <w:shd w:fill="CCEEFF" w:val="clear"/>
            <w:vAlign w:val="center"/>
          </w:tcPr>
          <w:p>
            <w:pPr>
              <w:pStyle w:val="TableContents"/>
              <w:bidi w:val="0"/>
              <w:spacing w:before="0" w:after="283"/>
              <w:jc w:val="right"/>
              <w:rPr>
                <w:sz w:val="20"/>
              </w:rPr>
            </w:pPr>
            <w:r>
              <w:rPr>
                <w:sz w:val="20"/>
              </w:rPr>
              <w:t>-</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sz w:val="20"/>
              </w:rPr>
            </w:pPr>
            <w:r>
              <w:rPr>
                <w:sz w:val="20"/>
              </w:rPr>
              <w:t>$</w:t>
            </w:r>
          </w:p>
        </w:tc>
        <w:tc>
          <w:tcPr>
            <w:tcW w:w="172" w:type="dxa"/>
            <w:tcBorders/>
            <w:shd w:fill="CCEEFF" w:val="cle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both"/>
              <w:rPr>
                <w:sz w:val="20"/>
              </w:rPr>
            </w:pPr>
            <w:r>
              <w:rPr>
                <w:sz w:val="20"/>
              </w:rPr>
              <w:t>Nanox.ARC</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sz w:val="20"/>
              </w:rPr>
            </w:pPr>
            <w:r>
              <w:rPr>
                <w:sz w:val="20"/>
              </w:rPr>
              <w:t>-</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right"/>
              <w:rPr>
                <w:sz w:val="20"/>
              </w:rPr>
            </w:pPr>
            <w:r>
              <w:rPr>
                <w:sz w:val="20"/>
              </w:rPr>
              <w:t>-</w:t>
            </w:r>
          </w:p>
        </w:tc>
        <w:tc>
          <w:tcPr>
            <w:tcW w:w="75" w:type="dxa"/>
            <w:tcBorders/>
            <w:shd w:fill="FFFFFF" w:val="clear"/>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283"/>
              <w:jc w:val="both"/>
              <w:rPr>
                <w:sz w:val="20"/>
              </w:rPr>
            </w:pPr>
            <w:r>
              <w:rPr>
                <w:sz w:val="20"/>
              </w:rPr>
              <w:t>AI and Software Solutions</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40,695</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both"/>
              <w:rPr>
                <w:sz w:val="20"/>
              </w:rPr>
            </w:pPr>
            <w:r>
              <w:rPr>
                <w:sz w:val="20"/>
              </w:rPr>
              <w:t>Total</w:t>
            </w:r>
          </w:p>
        </w:tc>
        <w:tc>
          <w:tcPr>
            <w:tcW w:w="60" w:type="dxa"/>
            <w:tcBorders/>
            <w:shd w:fill="FFFFFF" w:val="clear"/>
            <w:vAlign w:val="center"/>
          </w:tcPr>
          <w:p>
            <w:pPr>
              <w:pStyle w:val="TableContents"/>
              <w:bidi w:val="0"/>
              <w:spacing w:before="0" w:after="283"/>
              <w:jc w:val="left"/>
              <w:rPr/>
            </w:pPr>
            <w:r>
              <w:rPr/>
              <w:t> </w:t>
            </w:r>
          </w:p>
        </w:tc>
        <w:tc>
          <w:tcPr>
            <w:tcW w:w="191" w:type="dxa"/>
            <w:tcBorders>
              <w:bottom w:val="double" w:sz="10"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04" w:type="dxa"/>
            <w:tcBorders>
              <w:bottom w:val="double" w:sz="10" w:space="0" w:color="000000"/>
            </w:tcBorders>
            <w:shd w:fill="FFFFFF" w:val="clear"/>
            <w:tcMar>
              <w:bottom w:w="28" w:type="dxa"/>
            </w:tcMar>
            <w:vAlign w:val="center"/>
          </w:tcPr>
          <w:p>
            <w:pPr>
              <w:pStyle w:val="TableContents"/>
              <w:bidi w:val="0"/>
              <w:spacing w:before="0" w:after="283"/>
              <w:jc w:val="right"/>
              <w:rPr>
                <w:sz w:val="20"/>
              </w:rPr>
            </w:pPr>
            <w:r>
              <w:rPr>
                <w:sz w:val="20"/>
              </w:rPr>
              <w:t>40,695</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68" w:type="dxa"/>
            <w:tcBorders>
              <w:bottom w:val="double" w:sz="10"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applicable accounting standards, as of June 30, 2026, we performed an impairment assessment of our asset groups. The impairment assessment was triggered by a significant decline in our share price and reduced forecasted revenues and operating results. We recorded an impairment charge of $40.7 million, which was recorded to cost of revenues - impairment of intangible assets, reducing the fair value of the intangible assets related to our AI solutions business unit (excluding Nanox Health IT) to $1.9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re-evaluated the remaining useful lives of our intangible assets and concluded that no changes were necessary. The impairment charge did not result in any cash outflow or impact our liquidity and is excluded from the calculation of adjusted EBITDA loss for the period. For additional information, please see “</w:t>
      </w:r>
      <w:r>
        <w:rPr>
          <w:rFonts w:ascii="Times New Roman;Times;Serif" w:hAnsi="Times New Roman;Times;Serif"/>
          <w:b w:val="false"/>
          <w:i/>
          <w:caps w:val="false"/>
          <w:smallCaps w:val="false"/>
          <w:sz w:val="20"/>
        </w:rPr>
        <w:t>Intangible Assets</w:t>
      </w:r>
      <w:r>
        <w:rPr>
          <w:rFonts w:ascii="Times New Roman;Times;Serif" w:hAnsi="Times New Roman;Times;Serif"/>
          <w:b w:val="false"/>
          <w:i w:val="false"/>
          <w:caps w:val="false"/>
          <w:smallCaps w:val="false"/>
          <w:sz w:val="20"/>
        </w:rPr>
        <w:t>”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our research and development expenses incurred during the Reported Period and Comparable Period, broken down by type of expense:</w:t>
      </w:r>
    </w:p>
    <w:p>
      <w:pPr>
        <w:pStyle w:val="TextBody"/>
        <w:bidi w:val="0"/>
        <w:spacing w:before="0" w:after="0"/>
        <w:ind w:left="0" w:right="0" w:firstLine="360"/>
        <w:jc w:val="both"/>
        <w:rPr>
          <w:caps w:val="false"/>
          <w:smallCaps w:val="false"/>
        </w:rPr>
      </w:pPr>
      <w:r>
        <w:rPr>
          <w:caps w:val="false"/>
          <w:smallCaps w:val="false"/>
        </w:rPr>
        <w:t> </w:t>
      </w:r>
    </w:p>
    <w:tbl>
      <w:tblPr>
        <w:tblW w:w="3878" w:type="dxa"/>
        <w:jc w:val="left"/>
        <w:tblInd w:w="0" w:type="dxa"/>
        <w:tblLayout w:type="fixed"/>
        <w:tblCellMar>
          <w:top w:w="0" w:type="dxa"/>
          <w:left w:w="0" w:type="dxa"/>
          <w:bottom w:w="0" w:type="dxa"/>
          <w:right w:w="0" w:type="dxa"/>
        </w:tblCellMar>
      </w:tblPr>
      <w:tblGrid>
        <w:gridCol w:w="2195"/>
        <w:gridCol w:w="60"/>
        <w:gridCol w:w="144"/>
        <w:gridCol w:w="561"/>
        <w:gridCol w:w="69"/>
        <w:gridCol w:w="69"/>
        <w:gridCol w:w="144"/>
        <w:gridCol w:w="561"/>
        <w:gridCol w:w="75"/>
      </w:tblGrid>
      <w:tr>
        <w:trPr/>
        <w:tc>
          <w:tcPr>
            <w:tcW w:w="21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48"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Six Months Ended</w:t>
              <w:br/>
              <w:t>June 30,</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0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2026</w:t>
            </w:r>
          </w:p>
        </w:tc>
        <w:tc>
          <w:tcPr>
            <w:tcW w:w="69" w:type="dxa"/>
            <w:tcBorders/>
            <w:vAlign w:val="center"/>
          </w:tcPr>
          <w:p>
            <w:pPr>
              <w:pStyle w:val="TableContents"/>
              <w:bidi w:val="0"/>
              <w:spacing w:before="0" w:after="283"/>
              <w:jc w:val="center"/>
              <w:rPr/>
            </w:pPr>
            <w:r>
              <w:rPr/>
              <w:t> </w:t>
            </w:r>
          </w:p>
        </w:tc>
        <w:tc>
          <w:tcPr>
            <w:tcW w:w="69" w:type="dxa"/>
            <w:tcBorders/>
            <w:vAlign w:val="center"/>
          </w:tcPr>
          <w:p>
            <w:pPr>
              <w:pStyle w:val="TableContents"/>
              <w:bidi w:val="0"/>
              <w:spacing w:before="0" w:after="283"/>
              <w:jc w:val="center"/>
              <w:rPr/>
            </w:pPr>
            <w:r>
              <w:rPr/>
              <w:t> </w:t>
            </w:r>
          </w:p>
        </w:tc>
        <w:tc>
          <w:tcPr>
            <w:tcW w:w="70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vAlign w:val="center"/>
          </w:tcPr>
          <w:p>
            <w:pPr>
              <w:pStyle w:val="TableContents"/>
              <w:bidi w:val="0"/>
              <w:spacing w:before="0" w:after="283"/>
              <w:jc w:val="center"/>
              <w:rPr/>
            </w:pPr>
            <w:r>
              <w:rPr/>
              <w:t> </w:t>
            </w:r>
          </w:p>
        </w:tc>
      </w:tr>
      <w:tr>
        <w:trPr/>
        <w:tc>
          <w:tcPr>
            <w:tcW w:w="21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48"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 in thousands)</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both"/>
              <w:rPr>
                <w:sz w:val="20"/>
              </w:rPr>
            </w:pPr>
            <w:r>
              <w:rPr>
                <w:sz w:val="20"/>
              </w:rPr>
              <w:t>Salaries and wages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sz w:val="20"/>
              </w:rPr>
            </w:pPr>
            <w:r>
              <w:rPr>
                <w:sz w:val="20"/>
              </w:rPr>
              <w:t>$</w:t>
            </w:r>
          </w:p>
        </w:tc>
        <w:tc>
          <w:tcPr>
            <w:tcW w:w="561" w:type="dxa"/>
            <w:tcBorders/>
            <w:shd w:fill="CCEEFF" w:val="clear"/>
            <w:vAlign w:val="center"/>
          </w:tcPr>
          <w:p>
            <w:pPr>
              <w:pStyle w:val="TableContents"/>
              <w:bidi w:val="0"/>
              <w:spacing w:before="0" w:after="283"/>
              <w:jc w:val="right"/>
              <w:rPr>
                <w:sz w:val="20"/>
              </w:rPr>
            </w:pPr>
            <w:r>
              <w:rPr>
                <w:sz w:val="20"/>
              </w:rPr>
              <w:t>5,743</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sz w:val="20"/>
              </w:rPr>
            </w:pPr>
            <w:r>
              <w:rPr>
                <w:sz w:val="20"/>
              </w:rPr>
              <w:t>$</w:t>
            </w:r>
          </w:p>
        </w:tc>
        <w:tc>
          <w:tcPr>
            <w:tcW w:w="561" w:type="dxa"/>
            <w:tcBorders/>
            <w:shd w:fill="CCEEFF" w:val="clear"/>
            <w:vAlign w:val="center"/>
          </w:tcPr>
          <w:p>
            <w:pPr>
              <w:pStyle w:val="TableContents"/>
              <w:bidi w:val="0"/>
              <w:spacing w:before="0" w:after="283"/>
              <w:jc w:val="right"/>
              <w:rPr>
                <w:sz w:val="20"/>
              </w:rPr>
            </w:pPr>
            <w:r>
              <w:rPr>
                <w:sz w:val="20"/>
              </w:rPr>
              <w:t>5,403</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both"/>
              <w:rPr>
                <w:sz w:val="20"/>
              </w:rPr>
            </w:pPr>
            <w:r>
              <w:rPr>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sz w:val="20"/>
              </w:rPr>
            </w:pPr>
            <w:r>
              <w:rPr>
                <w:sz w:val="20"/>
              </w:rPr>
              <w:t>432</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sz w:val="20"/>
              </w:rPr>
            </w:pPr>
            <w:r>
              <w:rPr>
                <w:sz w:val="20"/>
              </w:rPr>
              <w:t>693</w:t>
            </w:r>
          </w:p>
        </w:tc>
        <w:tc>
          <w:tcPr>
            <w:tcW w:w="7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both"/>
              <w:rPr>
                <w:sz w:val="20"/>
              </w:rPr>
            </w:pPr>
            <w:r>
              <w:rPr>
                <w:sz w:val="20"/>
              </w:rPr>
              <w:t>R&amp;D expenses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right"/>
              <w:rPr>
                <w:sz w:val="20"/>
              </w:rPr>
            </w:pPr>
            <w:r>
              <w:rPr>
                <w:sz w:val="20"/>
              </w:rPr>
              <w:t>1,681</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right"/>
              <w:rPr>
                <w:sz w:val="20"/>
              </w:rPr>
            </w:pPr>
            <w:r>
              <w:rPr>
                <w:sz w:val="20"/>
              </w:rPr>
              <w:t>1,879</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both"/>
              <w:rPr>
                <w:sz w:val="20"/>
              </w:rPr>
            </w:pPr>
            <w:r>
              <w:rPr>
                <w:sz w:val="20"/>
              </w:rPr>
              <w:t>Other</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1"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1,649</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1"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1,837</w:t>
            </w:r>
          </w:p>
        </w:tc>
        <w:tc>
          <w:tcPr>
            <w:tcW w:w="7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both"/>
              <w:rPr>
                <w:sz w:val="20"/>
              </w:rPr>
            </w:pPr>
            <w:r>
              <w:rPr>
                <w:sz w:val="20"/>
              </w:rPr>
              <w:t>Total</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61"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9,505</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61"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9,812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$9.5 million for the Reported Period, compared to $9.8 million for the Comparable Period, a decrease of 3%. The decrease in Research and Development expenses was primarily attributable to a decrease in share-based compensation of $0.3 million and a decrease in R&amp;D expenses of $0.2 million, which were offset in part by an increase in salaries and wages of $0.3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our Research and Development expenses per category of operations incurred during the Reported Period and Comparable Period:</w:t>
      </w:r>
    </w:p>
    <w:p>
      <w:pPr>
        <w:pStyle w:val="TextBody"/>
        <w:bidi w:val="0"/>
        <w:spacing w:before="0" w:after="0"/>
        <w:ind w:left="0" w:right="0" w:firstLine="360"/>
        <w:jc w:val="both"/>
        <w:rPr>
          <w:caps w:val="false"/>
          <w:smallCaps w:val="false"/>
        </w:rPr>
      </w:pPr>
      <w:r>
        <w:rPr>
          <w:caps w:val="false"/>
          <w:smallCaps w:val="false"/>
        </w:rPr>
        <w:t> </w:t>
      </w:r>
    </w:p>
    <w:tbl>
      <w:tblPr>
        <w:tblW w:w="3877" w:type="dxa"/>
        <w:jc w:val="left"/>
        <w:tblInd w:w="0" w:type="dxa"/>
        <w:tblLayout w:type="fixed"/>
        <w:tblCellMar>
          <w:top w:w="0" w:type="dxa"/>
          <w:left w:w="0" w:type="dxa"/>
          <w:bottom w:w="0" w:type="dxa"/>
          <w:right w:w="0" w:type="dxa"/>
        </w:tblCellMar>
      </w:tblPr>
      <w:tblGrid>
        <w:gridCol w:w="2150"/>
        <w:gridCol w:w="60"/>
        <w:gridCol w:w="148"/>
        <w:gridCol w:w="577"/>
        <w:gridCol w:w="71"/>
        <w:gridCol w:w="71"/>
        <w:gridCol w:w="148"/>
        <w:gridCol w:w="577"/>
        <w:gridCol w:w="75"/>
      </w:tblGrid>
      <w:tr>
        <w:trPr/>
        <w:tc>
          <w:tcPr>
            <w:tcW w:w="21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92"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Six Months Ended </w:t>
              <w:br/>
              <w:t>June 30,</w:t>
            </w:r>
          </w:p>
        </w:tc>
        <w:tc>
          <w:tcPr>
            <w:tcW w:w="75"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2026</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92"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 in thousands)</w:t>
            </w:r>
          </w:p>
        </w:tc>
        <w:tc>
          <w:tcPr>
            <w:tcW w:w="75" w:type="dxa"/>
            <w:tcBorders/>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283"/>
              <w:jc w:val="both"/>
              <w:rPr>
                <w:sz w:val="20"/>
              </w:rPr>
            </w:pPr>
            <w:r>
              <w:rPr>
                <w:sz w:val="20"/>
              </w:rPr>
              <w:t>Nanox.ARC</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sz w:val="20"/>
              </w:rPr>
            </w:pPr>
            <w:r>
              <w:rPr>
                <w:sz w:val="20"/>
              </w:rPr>
              <w:t>$</w:t>
            </w:r>
          </w:p>
        </w:tc>
        <w:tc>
          <w:tcPr>
            <w:tcW w:w="577" w:type="dxa"/>
            <w:tcBorders/>
            <w:shd w:fill="CCEEFF" w:val="clear"/>
            <w:vAlign w:val="center"/>
          </w:tcPr>
          <w:p>
            <w:pPr>
              <w:pStyle w:val="TableContents"/>
              <w:bidi w:val="0"/>
              <w:spacing w:before="0" w:after="283"/>
              <w:jc w:val="right"/>
              <w:rPr>
                <w:sz w:val="20"/>
              </w:rPr>
            </w:pPr>
            <w:r>
              <w:rPr>
                <w:sz w:val="20"/>
              </w:rPr>
              <w:t>7,253</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sz w:val="20"/>
              </w:rPr>
            </w:pPr>
            <w:r>
              <w:rPr>
                <w:sz w:val="20"/>
              </w:rPr>
              <w:t>$</w:t>
            </w:r>
          </w:p>
        </w:tc>
        <w:tc>
          <w:tcPr>
            <w:tcW w:w="577" w:type="dxa"/>
            <w:tcBorders/>
            <w:shd w:fill="CCEEFF" w:val="clear"/>
            <w:vAlign w:val="center"/>
          </w:tcPr>
          <w:p>
            <w:pPr>
              <w:pStyle w:val="TableContents"/>
              <w:bidi w:val="0"/>
              <w:spacing w:before="0" w:after="283"/>
              <w:jc w:val="right"/>
              <w:rPr>
                <w:sz w:val="20"/>
              </w:rPr>
            </w:pPr>
            <w:r>
              <w:rPr>
                <w:sz w:val="20"/>
              </w:rPr>
              <w:t>7,546</w:t>
            </w:r>
          </w:p>
        </w:tc>
        <w:tc>
          <w:tcPr>
            <w:tcW w:w="75" w:type="dxa"/>
            <w:tcBorders/>
            <w:shd w:fill="CCEE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both"/>
              <w:rPr>
                <w:sz w:val="20"/>
              </w:rPr>
            </w:pPr>
            <w:r>
              <w:rPr>
                <w:sz w:val="20"/>
              </w:rPr>
              <w:t>AI and Software Solutions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sz w:val="20"/>
              </w:rPr>
            </w:pPr>
            <w:r>
              <w:rPr>
                <w:sz w:val="20"/>
              </w:rPr>
              <w:t>2,188</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sz w:val="20"/>
              </w:rPr>
            </w:pPr>
            <w:r>
              <w:rPr>
                <w:sz w:val="20"/>
              </w:rPr>
              <w:t>2,201</w:t>
            </w:r>
          </w:p>
        </w:tc>
        <w:tc>
          <w:tcPr>
            <w:tcW w:w="75" w:type="dxa"/>
            <w:tcBorders/>
            <w:shd w:fill="FFFFFF" w:val="clear"/>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283"/>
              <w:jc w:val="both"/>
              <w:rPr>
                <w:sz w:val="20"/>
              </w:rPr>
            </w:pPr>
            <w:r>
              <w:rPr>
                <w:sz w:val="20"/>
              </w:rPr>
              <w:t>Radiology services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7"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64</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7"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65</w:t>
            </w:r>
          </w:p>
        </w:tc>
        <w:tc>
          <w:tcPr>
            <w:tcW w:w="75" w:type="dxa"/>
            <w:tcBorders/>
            <w:shd w:fill="CCEE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both"/>
              <w:rPr>
                <w:sz w:val="20"/>
              </w:rPr>
            </w:pPr>
            <w:r>
              <w:rPr>
                <w:sz w:val="20"/>
              </w:rPr>
              <w:t>Total</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10"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77" w:type="dxa"/>
            <w:tcBorders>
              <w:bottom w:val="double" w:sz="10" w:space="0" w:color="000000"/>
            </w:tcBorders>
            <w:shd w:fill="FFFFFF" w:val="clear"/>
            <w:tcMar>
              <w:bottom w:w="28" w:type="dxa"/>
            </w:tcMar>
            <w:vAlign w:val="center"/>
          </w:tcPr>
          <w:p>
            <w:pPr>
              <w:pStyle w:val="TableContents"/>
              <w:bidi w:val="0"/>
              <w:spacing w:before="0" w:after="283"/>
              <w:jc w:val="right"/>
              <w:rPr>
                <w:sz w:val="20"/>
              </w:rPr>
            </w:pPr>
            <w:r>
              <w:rPr>
                <w:sz w:val="20"/>
              </w:rPr>
              <w:t>9,505</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bottom w:val="double" w:sz="10"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577" w:type="dxa"/>
            <w:tcBorders>
              <w:bottom w:val="double" w:sz="10" w:space="0" w:color="000000"/>
            </w:tcBorders>
            <w:shd w:fill="FFFFFF" w:val="clear"/>
            <w:tcMar>
              <w:bottom w:w="28" w:type="dxa"/>
            </w:tcMar>
            <w:vAlign w:val="center"/>
          </w:tcPr>
          <w:p>
            <w:pPr>
              <w:pStyle w:val="TableContents"/>
              <w:bidi w:val="0"/>
              <w:spacing w:before="0" w:after="283"/>
              <w:jc w:val="right"/>
              <w:rPr>
                <w:sz w:val="20"/>
              </w:rPr>
            </w:pPr>
            <w:r>
              <w:rPr>
                <w:sz w:val="20"/>
              </w:rPr>
              <w:t>9,812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for our Nanox.ARC segment of operations were $7.2 million for the Reported Period, compared to $7.5 million for the Comparable Period, representing a decrease of 4%. The decrease in this segment was primarily attributable to a decrease in share-based compensation of $0.3 million and a decrease in R&amp;D expenses of $0.2 million, which were offset in part by an increase of $0.2 million in salaries and wages.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our sales and marketing expenses incurred by component during the Reported Period and Comparable Period:</w:t>
      </w:r>
    </w:p>
    <w:p>
      <w:pPr>
        <w:pStyle w:val="TextBody"/>
        <w:bidi w:val="0"/>
        <w:spacing w:before="0" w:after="0"/>
        <w:ind w:left="0" w:right="0" w:firstLine="360"/>
        <w:jc w:val="both"/>
        <w:rPr>
          <w:caps w:val="false"/>
          <w:smallCaps w:val="false"/>
        </w:rPr>
      </w:pPr>
      <w:r>
        <w:rPr>
          <w:caps w:val="false"/>
          <w:smallCaps w:val="false"/>
        </w:rPr>
        <w:t> </w:t>
      </w:r>
    </w:p>
    <w:tbl>
      <w:tblPr>
        <w:tblW w:w="4447" w:type="dxa"/>
        <w:jc w:val="left"/>
        <w:tblInd w:w="0" w:type="dxa"/>
        <w:tblLayout w:type="fixed"/>
        <w:tblCellMar>
          <w:top w:w="0" w:type="dxa"/>
          <w:left w:w="0" w:type="dxa"/>
          <w:bottom w:w="0" w:type="dxa"/>
          <w:right w:w="0" w:type="dxa"/>
        </w:tblCellMar>
      </w:tblPr>
      <w:tblGrid>
        <w:gridCol w:w="2720"/>
        <w:gridCol w:w="60"/>
        <w:gridCol w:w="148"/>
        <w:gridCol w:w="577"/>
        <w:gridCol w:w="71"/>
        <w:gridCol w:w="71"/>
        <w:gridCol w:w="148"/>
        <w:gridCol w:w="577"/>
        <w:gridCol w:w="75"/>
      </w:tblGrid>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2"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Six Months Ended </w:t>
              <w:br/>
              <w:t>June 30,</w:t>
            </w:r>
          </w:p>
        </w:tc>
        <w:tc>
          <w:tcPr>
            <w:tcW w:w="75" w:type="dxa"/>
            <w:tcBorders/>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2026</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2"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 in thousands)</w:t>
            </w:r>
          </w:p>
        </w:tc>
        <w:tc>
          <w:tcPr>
            <w:tcW w:w="75" w:type="dxa"/>
            <w:tcBorders/>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283"/>
              <w:jc w:val="both"/>
              <w:rPr>
                <w:sz w:val="20"/>
              </w:rPr>
            </w:pPr>
            <w:r>
              <w:rPr>
                <w:sz w:val="20"/>
              </w:rPr>
              <w:t>Salaries and wages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sz w:val="20"/>
              </w:rPr>
            </w:pPr>
            <w:r>
              <w:rPr>
                <w:sz w:val="20"/>
              </w:rPr>
              <w:t>$</w:t>
            </w:r>
          </w:p>
        </w:tc>
        <w:tc>
          <w:tcPr>
            <w:tcW w:w="577" w:type="dxa"/>
            <w:tcBorders/>
            <w:shd w:fill="CCEEFF" w:val="clear"/>
            <w:vAlign w:val="center"/>
          </w:tcPr>
          <w:p>
            <w:pPr>
              <w:pStyle w:val="TableContents"/>
              <w:bidi w:val="0"/>
              <w:spacing w:before="0" w:after="283"/>
              <w:jc w:val="right"/>
              <w:rPr>
                <w:sz w:val="20"/>
              </w:rPr>
            </w:pPr>
            <w:r>
              <w:rPr>
                <w:sz w:val="20"/>
              </w:rPr>
              <w:t>2,401</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sz w:val="20"/>
              </w:rPr>
            </w:pPr>
            <w:r>
              <w:rPr>
                <w:sz w:val="20"/>
              </w:rPr>
              <w:t>$</w:t>
            </w:r>
          </w:p>
        </w:tc>
        <w:tc>
          <w:tcPr>
            <w:tcW w:w="577" w:type="dxa"/>
            <w:tcBorders/>
            <w:shd w:fill="CCEEFF" w:val="clear"/>
            <w:vAlign w:val="center"/>
          </w:tcPr>
          <w:p>
            <w:pPr>
              <w:pStyle w:val="TableContents"/>
              <w:bidi w:val="0"/>
              <w:spacing w:before="0" w:after="283"/>
              <w:jc w:val="right"/>
              <w:rPr>
                <w:sz w:val="20"/>
              </w:rPr>
            </w:pPr>
            <w:r>
              <w:rPr>
                <w:sz w:val="20"/>
              </w:rPr>
              <w:t>933</w:t>
            </w:r>
          </w:p>
        </w:tc>
        <w:tc>
          <w:tcPr>
            <w:tcW w:w="75" w:type="dxa"/>
            <w:tcBorders/>
            <w:shd w:fill="CCEE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283"/>
              <w:jc w:val="both"/>
              <w:rPr>
                <w:sz w:val="20"/>
              </w:rPr>
            </w:pPr>
            <w:r>
              <w:rPr>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sz w:val="20"/>
              </w:rPr>
            </w:pPr>
            <w:r>
              <w:rPr>
                <w:sz w:val="20"/>
              </w:rPr>
              <w:t>232</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sz w:val="20"/>
              </w:rPr>
            </w:pPr>
            <w:r>
              <w:rPr>
                <w:sz w:val="20"/>
              </w:rPr>
              <w:t>172</w:t>
            </w:r>
          </w:p>
        </w:tc>
        <w:tc>
          <w:tcPr>
            <w:tcW w:w="75" w:type="dxa"/>
            <w:tcBorders/>
            <w:shd w:fill="FFFFFF" w:val="clear"/>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283"/>
              <w:jc w:val="both"/>
              <w:rPr>
                <w:sz w:val="20"/>
              </w:rPr>
            </w:pPr>
            <w:r>
              <w:rPr>
                <w:sz w:val="20"/>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sz w:val="20"/>
              </w:rPr>
            </w:pPr>
            <w:r>
              <w:rPr>
                <w:sz w:val="20"/>
              </w:rPr>
              <w:t>221</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sz w:val="20"/>
              </w:rPr>
            </w:pPr>
            <w:r>
              <w:rPr>
                <w:sz w:val="20"/>
              </w:rPr>
              <w:t>194</w:t>
            </w:r>
          </w:p>
        </w:tc>
        <w:tc>
          <w:tcPr>
            <w:tcW w:w="75" w:type="dxa"/>
            <w:tcBorders/>
            <w:shd w:fill="CCEE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283"/>
              <w:jc w:val="both"/>
              <w:rPr>
                <w:sz w:val="20"/>
              </w:rPr>
            </w:pPr>
            <w:r>
              <w:rPr>
                <w:sz w:val="20"/>
              </w:rPr>
              <w:t>Sales and marketing activities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7"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1,210</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7"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879</w:t>
            </w:r>
          </w:p>
        </w:tc>
        <w:tc>
          <w:tcPr>
            <w:tcW w:w="75" w:type="dxa"/>
            <w:tcBorders/>
            <w:shd w:fill="FFFFFF" w:val="clear"/>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283"/>
              <w:jc w:val="both"/>
              <w:rPr>
                <w:sz w:val="20"/>
              </w:rPr>
            </w:pPr>
            <w:r>
              <w:rPr>
                <w:sz w:val="20"/>
              </w:rPr>
              <w:t>Total</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77"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4,064</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77"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2,178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were $4.1 million for the Reported Period, compared to $2.2 million for the Comparable Period, an increase of 87%. The increase in Sales and Marketing expenses was primarily attributable to an increase in salaries and wages in an amount of $1.5 million and an increase in sales and marketing activities in an amount of $0.3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our sales and marketing expenses per segment of operation incurred during the Reported Period and Comparable Period:</w:t>
      </w:r>
    </w:p>
    <w:p>
      <w:pPr>
        <w:pStyle w:val="TextBody"/>
        <w:bidi w:val="0"/>
        <w:spacing w:before="0" w:after="0"/>
        <w:ind w:left="0" w:right="0" w:firstLine="360"/>
        <w:jc w:val="both"/>
        <w:rPr>
          <w:caps w:val="false"/>
          <w:smallCaps w:val="false"/>
        </w:rPr>
      </w:pPr>
      <w:r>
        <w:rPr>
          <w:caps w:val="false"/>
          <w:smallCaps w:val="false"/>
        </w:rPr>
        <w:t> </w:t>
      </w:r>
    </w:p>
    <w:tbl>
      <w:tblPr>
        <w:tblW w:w="4596" w:type="dxa"/>
        <w:jc w:val="left"/>
        <w:tblInd w:w="0" w:type="dxa"/>
        <w:tblLayout w:type="fixed"/>
        <w:tblCellMar>
          <w:top w:w="0" w:type="dxa"/>
          <w:left w:w="0" w:type="dxa"/>
          <w:bottom w:w="0" w:type="dxa"/>
          <w:right w:w="0" w:type="dxa"/>
        </w:tblCellMar>
      </w:tblPr>
      <w:tblGrid>
        <w:gridCol w:w="2555"/>
        <w:gridCol w:w="60"/>
        <w:gridCol w:w="175"/>
        <w:gridCol w:w="703"/>
        <w:gridCol w:w="75"/>
        <w:gridCol w:w="75"/>
        <w:gridCol w:w="175"/>
        <w:gridCol w:w="703"/>
        <w:gridCol w:w="75"/>
      </w:tblGrid>
      <w:tr>
        <w:trPr/>
        <w:tc>
          <w:tcPr>
            <w:tcW w:w="25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0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7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0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in thousands)</w:t>
            </w:r>
          </w:p>
        </w:tc>
        <w:tc>
          <w:tcPr>
            <w:tcW w:w="75"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both"/>
              <w:rPr/>
            </w:pPr>
            <w:r>
              <w:rPr/>
              <w:t>Nanox.ARC</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3" w:type="dxa"/>
            <w:tcBorders/>
            <w:shd w:fill="CCEEFF" w:val="clear"/>
            <w:vAlign w:val="center"/>
          </w:tcPr>
          <w:p>
            <w:pPr>
              <w:pStyle w:val="TableContents"/>
              <w:bidi w:val="0"/>
              <w:spacing w:before="0" w:after="283"/>
              <w:jc w:val="right"/>
              <w:rPr/>
            </w:pPr>
            <w:r>
              <w:rPr/>
              <w:t>3,175</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3" w:type="dxa"/>
            <w:tcBorders/>
            <w:shd w:fill="CCEEFF" w:val="clear"/>
            <w:vAlign w:val="center"/>
          </w:tcPr>
          <w:p>
            <w:pPr>
              <w:pStyle w:val="TableContents"/>
              <w:bidi w:val="0"/>
              <w:spacing w:before="0" w:after="283"/>
              <w:jc w:val="right"/>
              <w:rPr/>
            </w:pPr>
            <w:r>
              <w:rPr/>
              <w:t>1,885</w:t>
            </w:r>
          </w:p>
        </w:tc>
        <w:tc>
          <w:tcPr>
            <w:tcW w:w="7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both"/>
              <w:rPr/>
            </w:pPr>
            <w:r>
              <w:rPr/>
              <w:t>AI and Software Solutions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pPr>
            <w:r>
              <w:rPr/>
              <w:t>624</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pPr>
            <w:r>
              <w:rPr/>
              <w:t>85</w:t>
            </w:r>
          </w:p>
        </w:tc>
        <w:tc>
          <w:tcPr>
            <w:tcW w:w="75"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both"/>
              <w:rPr/>
            </w:pPr>
            <w:r>
              <w:rPr/>
              <w:t>Teleradiology services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3" w:type="dxa"/>
            <w:tcBorders>
              <w:bottom w:val="single" w:sz="12" w:space="0" w:color="000000"/>
            </w:tcBorders>
            <w:shd w:fill="CCEEFF" w:val="clear"/>
            <w:tcMar>
              <w:bottom w:w="28" w:type="dxa"/>
            </w:tcMar>
            <w:vAlign w:val="center"/>
          </w:tcPr>
          <w:p>
            <w:pPr>
              <w:pStyle w:val="TableContents"/>
              <w:bidi w:val="0"/>
              <w:spacing w:before="0" w:after="283"/>
              <w:jc w:val="right"/>
              <w:rPr/>
            </w:pPr>
            <w:r>
              <w:rPr/>
              <w:t>265</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3" w:type="dxa"/>
            <w:tcBorders>
              <w:bottom w:val="single" w:sz="12" w:space="0" w:color="000000"/>
            </w:tcBorders>
            <w:shd w:fill="CCEEFF" w:val="clear"/>
            <w:tcMar>
              <w:bottom w:w="28" w:type="dxa"/>
            </w:tcMar>
            <w:vAlign w:val="center"/>
          </w:tcPr>
          <w:p>
            <w:pPr>
              <w:pStyle w:val="TableContents"/>
              <w:bidi w:val="0"/>
              <w:spacing w:before="0" w:after="283"/>
              <w:jc w:val="right"/>
              <w:rPr/>
            </w:pPr>
            <w:r>
              <w:rPr/>
              <w:t>208</w:t>
            </w:r>
          </w:p>
        </w:tc>
        <w:tc>
          <w:tcPr>
            <w:tcW w:w="7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both"/>
              <w:rPr/>
            </w:pPr>
            <w:r>
              <w:rPr/>
              <w:t>Total</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03" w:type="dxa"/>
            <w:tcBorders>
              <w:bottom w:val="double" w:sz="10" w:space="0" w:color="000000"/>
            </w:tcBorders>
            <w:shd w:fill="FFFFFF" w:val="clear"/>
            <w:tcMar>
              <w:bottom w:w="28" w:type="dxa"/>
            </w:tcMar>
            <w:vAlign w:val="center"/>
          </w:tcPr>
          <w:p>
            <w:pPr>
              <w:pStyle w:val="TableContents"/>
              <w:bidi w:val="0"/>
              <w:spacing w:before="0" w:after="283"/>
              <w:jc w:val="right"/>
              <w:rPr/>
            </w:pPr>
            <w:r>
              <w:rPr/>
              <w:t>4,064</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03" w:type="dxa"/>
            <w:tcBorders>
              <w:bottom w:val="double" w:sz="10" w:space="0" w:color="000000"/>
            </w:tcBorders>
            <w:shd w:fill="FFFFFF" w:val="clear"/>
            <w:tcMar>
              <w:bottom w:w="28" w:type="dxa"/>
            </w:tcMar>
            <w:vAlign w:val="center"/>
          </w:tcPr>
          <w:p>
            <w:pPr>
              <w:pStyle w:val="TableContents"/>
              <w:bidi w:val="0"/>
              <w:spacing w:before="0" w:after="283"/>
              <w:jc w:val="right"/>
              <w:rPr/>
            </w:pPr>
            <w:r>
              <w:rPr/>
              <w:t>2,178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through our Nanox.ARC segment of operation were $3.2 million for the Reported Period, compared to $1.9 million for the Comparable Period, representing an increase of 68%. The increase was primarily attributable to the increase in salaries and wages of $1.0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through our AI and Software Solution segment of operation were $0.6 million for the Reported Period, compared to $0.1 million for the Comparable Period, representing an increase of 634%. The increase was attributable to the increase in salaries and wages in an amount of $0.5 million, which was primarily attributable to the consolidation of Nanox Health 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through our Teleradiology services segment of operation were $0.3 million for the Reported Period, compared to $0.2 million for the Comparable Period, representing an increase of 27%.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our general and administrative expenses incurred by component during the Reported Period and Comparable Period:</w:t>
      </w:r>
    </w:p>
    <w:p>
      <w:pPr>
        <w:pStyle w:val="TextBody"/>
        <w:bidi w:val="0"/>
        <w:spacing w:before="0" w:after="0"/>
        <w:ind w:left="0" w:right="0" w:firstLine="360"/>
        <w:jc w:val="both"/>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2705"/>
        <w:gridCol w:w="60"/>
        <w:gridCol w:w="125"/>
        <w:gridCol w:w="590"/>
        <w:gridCol w:w="60"/>
        <w:gridCol w:w="60"/>
        <w:gridCol w:w="125"/>
        <w:gridCol w:w="590"/>
        <w:gridCol w:w="75"/>
      </w:tblGrid>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Six Months Ended</w:t>
              <w:br/>
              <w:t>June 30,</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50"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 in thousands)</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both"/>
              <w:rPr>
                <w:sz w:val="20"/>
              </w:rPr>
            </w:pPr>
            <w:r>
              <w:rPr>
                <w:sz w:val="20"/>
              </w:rPr>
              <w:t>Salaries and wages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590" w:type="dxa"/>
            <w:tcBorders/>
            <w:shd w:fill="CCEEFF" w:val="clear"/>
            <w:vAlign w:val="center"/>
          </w:tcPr>
          <w:p>
            <w:pPr>
              <w:pStyle w:val="TableContents"/>
              <w:bidi w:val="0"/>
              <w:spacing w:before="0" w:after="283"/>
              <w:jc w:val="right"/>
              <w:rPr>
                <w:sz w:val="20"/>
              </w:rPr>
            </w:pPr>
            <w:r>
              <w:rPr>
                <w:sz w:val="20"/>
              </w:rPr>
              <w:t>3,463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590" w:type="dxa"/>
            <w:tcBorders/>
            <w:shd w:fill="CCEEFF" w:val="clear"/>
            <w:vAlign w:val="center"/>
          </w:tcPr>
          <w:p>
            <w:pPr>
              <w:pStyle w:val="TableContents"/>
              <w:bidi w:val="0"/>
              <w:spacing w:before="0" w:after="283"/>
              <w:jc w:val="right"/>
              <w:rPr>
                <w:sz w:val="20"/>
              </w:rPr>
            </w:pPr>
            <w:r>
              <w:rPr>
                <w:sz w:val="20"/>
              </w:rPr>
              <w:t>3,688</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both"/>
              <w:rPr>
                <w:sz w:val="20"/>
              </w:rPr>
            </w:pPr>
            <w:r>
              <w:rPr>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972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1,307</w:t>
            </w:r>
          </w:p>
        </w:tc>
        <w:tc>
          <w:tcPr>
            <w:tcW w:w="7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both"/>
              <w:rPr>
                <w:sz w:val="20"/>
              </w:rPr>
            </w:pPr>
            <w:r>
              <w:rPr>
                <w:sz w:val="20"/>
              </w:rPr>
              <w:t>Directors’ and officers’ insurance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322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461</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both"/>
              <w:rPr>
                <w:sz w:val="20"/>
              </w:rPr>
            </w:pPr>
            <w:r>
              <w:rPr>
                <w:sz w:val="20"/>
              </w:rPr>
              <w:t>Professional services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2,492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1,437</w:t>
            </w:r>
          </w:p>
        </w:tc>
        <w:tc>
          <w:tcPr>
            <w:tcW w:w="7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both"/>
              <w:rPr>
                <w:sz w:val="20"/>
              </w:rPr>
            </w:pPr>
            <w:r>
              <w:rPr>
                <w:sz w:val="20"/>
              </w:rPr>
              <w:t>Legal fees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687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165</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both"/>
              <w:rPr>
                <w:sz w:val="20"/>
              </w:rPr>
            </w:pPr>
            <w:r>
              <w:rPr>
                <w:sz w:val="20"/>
              </w:rPr>
              <w:t>Rent and Maintenance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680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745</w:t>
            </w:r>
          </w:p>
        </w:tc>
        <w:tc>
          <w:tcPr>
            <w:tcW w:w="7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both"/>
              <w:rPr>
                <w:sz w:val="20"/>
              </w:rPr>
            </w:pPr>
            <w:r>
              <w:rPr>
                <w:sz w:val="20"/>
              </w:rPr>
              <w:t>Office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370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328</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both"/>
              <w:rPr>
                <w:sz w:val="20"/>
              </w:rPr>
            </w:pPr>
            <w:r>
              <w:rPr>
                <w:sz w:val="20"/>
              </w:rPr>
              <w:t>Directors fee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153</w:t>
            </w:r>
          </w:p>
        </w:tc>
        <w:tc>
          <w:tcPr>
            <w:tcW w:w="7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both"/>
              <w:rPr>
                <w:sz w:val="20"/>
              </w:rPr>
            </w:pPr>
            <w:r>
              <w:rPr>
                <w:sz w:val="20"/>
              </w:rPr>
              <w:t>Software and 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396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633</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both"/>
              <w:rPr>
                <w:sz w:val="20"/>
              </w:rPr>
            </w:pPr>
            <w:r>
              <w:rPr>
                <w:sz w:val="20"/>
              </w:rPr>
              <w:t>Insurance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254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284</w:t>
            </w:r>
          </w:p>
        </w:tc>
        <w:tc>
          <w:tcPr>
            <w:tcW w:w="7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both"/>
              <w:rPr>
                <w:sz w:val="20"/>
              </w:rPr>
            </w:pPr>
            <w:r>
              <w:rPr>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sz w:val="20"/>
              </w:rPr>
            </w:pPr>
            <w:r>
              <w:rPr>
                <w:sz w:val="20"/>
              </w:rPr>
              <w:t>77</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both"/>
              <w:rPr>
                <w:sz w:val="20"/>
              </w:rPr>
            </w:pPr>
            <w:r>
              <w:rPr>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823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987</w:t>
            </w:r>
          </w:p>
        </w:tc>
        <w:tc>
          <w:tcPr>
            <w:tcW w:w="7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both"/>
              <w:rPr>
                <w:sz w:val="20"/>
              </w:rPr>
            </w:pPr>
            <w:r>
              <w:rPr>
                <w:sz w:val="20"/>
              </w:rPr>
              <w:t>Total</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10,684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10,265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$10.7 million for the Reported Period, compared to $10.3 million for the Comparable Period, an increase of 4%. The increase in General and Administrative expenses was primarily attributable to an increase in professional services of $1.1 million and an increase of $0.5 million in legal fees, which was mitigated in part by decrease in salaries in an amount of $0.3 million, a decrease in share-based compensation in an amount of $0.3 million, and a decrease in Software and IT expenses in an amount of $0.2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our General and Administrative expenses per segment of operation incurred during the Reported Period and Comparable Period:</w:t>
      </w:r>
    </w:p>
    <w:p>
      <w:pPr>
        <w:pStyle w:val="TextBody"/>
        <w:bidi w:val="0"/>
        <w:spacing w:before="0" w:after="0"/>
        <w:ind w:left="0" w:right="0" w:firstLine="360"/>
        <w:jc w:val="both"/>
        <w:rPr>
          <w:caps w:val="false"/>
          <w:smallCaps w:val="false"/>
        </w:rPr>
      </w:pPr>
      <w:r>
        <w:rPr>
          <w:caps w:val="false"/>
          <w:smallCaps w:val="false"/>
        </w:rPr>
        <w:t> </w:t>
      </w:r>
    </w:p>
    <w:tbl>
      <w:tblPr>
        <w:tblW w:w="3877" w:type="dxa"/>
        <w:jc w:val="left"/>
        <w:tblInd w:w="0" w:type="dxa"/>
        <w:tblLayout w:type="fixed"/>
        <w:tblCellMar>
          <w:top w:w="0" w:type="dxa"/>
          <w:left w:w="0" w:type="dxa"/>
          <w:bottom w:w="0" w:type="dxa"/>
          <w:right w:w="0" w:type="dxa"/>
        </w:tblCellMar>
      </w:tblPr>
      <w:tblGrid>
        <w:gridCol w:w="2150"/>
        <w:gridCol w:w="60"/>
        <w:gridCol w:w="128"/>
        <w:gridCol w:w="607"/>
        <w:gridCol w:w="61"/>
        <w:gridCol w:w="61"/>
        <w:gridCol w:w="128"/>
        <w:gridCol w:w="607"/>
        <w:gridCol w:w="75"/>
      </w:tblGrid>
      <w:tr>
        <w:trPr/>
        <w:tc>
          <w:tcPr>
            <w:tcW w:w="21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92"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Six Months Ended </w:t>
              <w:br/>
              <w:t>June 30,</w:t>
            </w:r>
          </w:p>
        </w:tc>
        <w:tc>
          <w:tcPr>
            <w:tcW w:w="75"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3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2026</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3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92"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 in thousands)</w:t>
            </w:r>
          </w:p>
        </w:tc>
        <w:tc>
          <w:tcPr>
            <w:tcW w:w="75" w:type="dxa"/>
            <w:tcBorders/>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283"/>
              <w:jc w:val="both"/>
              <w:rPr>
                <w:sz w:val="20"/>
              </w:rPr>
            </w:pPr>
            <w:r>
              <w:rPr>
                <w:sz w:val="20"/>
              </w:rPr>
              <w:t>Nanox.ARC</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sz w:val="20"/>
              </w:rPr>
            </w:pPr>
            <w:r>
              <w:rPr>
                <w:sz w:val="20"/>
              </w:rPr>
              <w:t>$</w:t>
            </w:r>
          </w:p>
        </w:tc>
        <w:tc>
          <w:tcPr>
            <w:tcW w:w="607" w:type="dxa"/>
            <w:tcBorders/>
            <w:shd w:fill="CCEEFF" w:val="clear"/>
            <w:vAlign w:val="center"/>
          </w:tcPr>
          <w:p>
            <w:pPr>
              <w:pStyle w:val="TableContents"/>
              <w:bidi w:val="0"/>
              <w:spacing w:before="0" w:after="283"/>
              <w:jc w:val="right"/>
              <w:rPr>
                <w:sz w:val="20"/>
              </w:rPr>
            </w:pPr>
            <w:r>
              <w:rPr>
                <w:sz w:val="20"/>
              </w:rPr>
              <w:t>9,037</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sz w:val="20"/>
              </w:rPr>
            </w:pPr>
            <w:r>
              <w:rPr>
                <w:sz w:val="20"/>
              </w:rPr>
              <w:t>$</w:t>
            </w:r>
          </w:p>
        </w:tc>
        <w:tc>
          <w:tcPr>
            <w:tcW w:w="607" w:type="dxa"/>
            <w:tcBorders/>
            <w:shd w:fill="CCEEFF" w:val="clear"/>
            <w:vAlign w:val="center"/>
          </w:tcPr>
          <w:p>
            <w:pPr>
              <w:pStyle w:val="TableContents"/>
              <w:bidi w:val="0"/>
              <w:spacing w:before="0" w:after="283"/>
              <w:jc w:val="right"/>
              <w:rPr>
                <w:sz w:val="20"/>
              </w:rPr>
            </w:pPr>
            <w:r>
              <w:rPr>
                <w:sz w:val="20"/>
              </w:rPr>
              <w:t>8,522</w:t>
            </w:r>
          </w:p>
        </w:tc>
        <w:tc>
          <w:tcPr>
            <w:tcW w:w="75" w:type="dxa"/>
            <w:tcBorders/>
            <w:shd w:fill="CCEE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both"/>
              <w:rPr>
                <w:sz w:val="20"/>
              </w:rPr>
            </w:pPr>
            <w:r>
              <w:rPr>
                <w:sz w:val="20"/>
              </w:rPr>
              <w:t>AI and Software Solutions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right"/>
              <w:rPr>
                <w:sz w:val="20"/>
              </w:rPr>
            </w:pPr>
            <w:r>
              <w:rPr>
                <w:sz w:val="20"/>
              </w:rPr>
              <w:t>728</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right"/>
              <w:rPr>
                <w:sz w:val="20"/>
              </w:rPr>
            </w:pPr>
            <w:r>
              <w:rPr>
                <w:sz w:val="20"/>
              </w:rPr>
              <w:t>137</w:t>
            </w:r>
          </w:p>
        </w:tc>
        <w:tc>
          <w:tcPr>
            <w:tcW w:w="75" w:type="dxa"/>
            <w:tcBorders/>
            <w:shd w:fill="FFFFFF" w:val="clear"/>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283"/>
              <w:jc w:val="both"/>
              <w:rPr>
                <w:sz w:val="20"/>
              </w:rPr>
            </w:pPr>
            <w:r>
              <w:rPr>
                <w:sz w:val="20"/>
              </w:rPr>
              <w:t>Teleradiology services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7"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919</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7"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1,606</w:t>
            </w:r>
          </w:p>
        </w:tc>
        <w:tc>
          <w:tcPr>
            <w:tcW w:w="75" w:type="dxa"/>
            <w:tcBorders/>
            <w:shd w:fill="CCEE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both"/>
              <w:rPr>
                <w:sz w:val="20"/>
              </w:rPr>
            </w:pPr>
            <w:r>
              <w:rPr>
                <w:sz w:val="20"/>
              </w:rPr>
              <w:t>Total</w:t>
            </w:r>
          </w:p>
        </w:tc>
        <w:tc>
          <w:tcPr>
            <w:tcW w:w="60" w:type="dxa"/>
            <w:tcBorders/>
            <w:shd w:fill="FFFFFF" w:val="clear"/>
            <w:vAlign w:val="center"/>
          </w:tcPr>
          <w:p>
            <w:pPr>
              <w:pStyle w:val="TableContents"/>
              <w:bidi w:val="0"/>
              <w:spacing w:before="0" w:after="283"/>
              <w:jc w:val="left"/>
              <w:rPr/>
            </w:pPr>
            <w:r>
              <w:rPr/>
              <w:t> </w:t>
            </w:r>
          </w:p>
        </w:tc>
        <w:tc>
          <w:tcPr>
            <w:tcW w:w="128" w:type="dxa"/>
            <w:tcBorders>
              <w:bottom w:val="double" w:sz="10"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7" w:type="dxa"/>
            <w:tcBorders>
              <w:bottom w:val="double" w:sz="10" w:space="0" w:color="000000"/>
            </w:tcBorders>
            <w:shd w:fill="FFFFFF" w:val="clear"/>
            <w:tcMar>
              <w:bottom w:w="28" w:type="dxa"/>
            </w:tcMar>
            <w:vAlign w:val="center"/>
          </w:tcPr>
          <w:p>
            <w:pPr>
              <w:pStyle w:val="TableContents"/>
              <w:bidi w:val="0"/>
              <w:spacing w:before="0" w:after="283"/>
              <w:jc w:val="right"/>
              <w:rPr>
                <w:sz w:val="20"/>
              </w:rPr>
            </w:pPr>
            <w:r>
              <w:rPr>
                <w:sz w:val="20"/>
              </w:rPr>
              <w:t>10,684</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bottom w:val="double" w:sz="10"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7" w:type="dxa"/>
            <w:tcBorders>
              <w:bottom w:val="double" w:sz="10" w:space="0" w:color="000000"/>
            </w:tcBorders>
            <w:shd w:fill="FFFFFF" w:val="clear"/>
            <w:tcMar>
              <w:bottom w:w="28" w:type="dxa"/>
            </w:tcMar>
            <w:vAlign w:val="center"/>
          </w:tcPr>
          <w:p>
            <w:pPr>
              <w:pStyle w:val="TableContents"/>
              <w:bidi w:val="0"/>
              <w:spacing w:before="0" w:after="283"/>
              <w:jc w:val="right"/>
              <w:rPr>
                <w:sz w:val="20"/>
              </w:rPr>
            </w:pPr>
            <w:r>
              <w:rPr>
                <w:sz w:val="20"/>
              </w:rPr>
              <w:t>10,265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through our Nanox.ARC segment of operations were $9.0 million for the Reported Period, compared to $8.5 million for the Comparable Period, an increase of 6%. The increase was primarily attributable to an increase of $0.8 million in professional services expenses, and an increase of $0.5 million in legal fees. This increase was mitigated in part by a decrease of $0.3 million in share-based compensation, a decrease of $0.1 million in Directors’ and Officers’ insurance, and a decrease of $0.2 million in Software and IT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through our AI and Software Solution segment of operation were $0.7 million for the Reported Period, compared to $0.1 million for the Comparable Period, representing an increase of 431%. The increase was attributable to the increase in salaries and wages of $0.3 million and the increase in professional services in an amount of $0.3 million, which derived from the consolidation of Nanox Health 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through our Teleradiology services segment of operation were $0.9 million for the Reported Period, compared to $1.6 million for the Comparable Period, representing a decrease of 43%. The decrease was mainly attributable to the decrease in salaries and wages in the amount of $0.6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was $0.5 million for the Reported Period, compared to $0 for the Comparable Period. The increase of $0.5 million was due to a settlement with a shareholder.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reported a net loss of $69.8 million for the Reported Period, compared to a net loss of $28.0 million for the Comparable Period, an increase of 149%. The increase of $41.8 million was largely due to the recording of cost of revenue - impairment of intangible assets in an amount of $40.7 million, an increase of $1.9 million in the Sales and Marketing expenses and an increase of $0.4 million in General and Administrative expenses, mitigated in part by a decrease of $0.3 million in the Research and Development expenses and an increase of $0.5 million in Other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our inception and prior to November 2021, we did not generate any revenue from product sales or otherwise and have incurred significant operating losses and negative cash flows from our operations. Beginning in the year ended December 31, 2021 and continuing in the year ended December 31, 2022, we generated revenue through the sale of teleradiology services and the sale of AI solutions following the completion of the acquisition of Nanox AI, and the acquisition of USARAD Holdings Inc. in November 2021. Beginning in the year ended December 31, 2023, we generated revenue through the sale of Nanox.CONNECT and scan services. During the year ended December 31, 2024, we began generating revenue from sales of imaging services from the Nanox Systems and other services. For the six months ended June 30, 2026, we also generated revenue from sales of imaging services from AI and software products, teleradiology and other services. Historically, we have funded our operations primarily with proceeds from the sale of our and our predecessor company’s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through June 30, 2026, we have accumulated a deficit of $518.5 million and our activities have been funded mainly by the sale of our ordinary shares and positive cash flow from the Teleradiology business segment. We expect to continue to incur significant costs related to our commercialization efforts and ongoing operations. As of June 30, 2026, our cash and cash equivalents and deposits were $31.4 million. Subsequent to June 30, 2026, we raised an aggregate amount of $8.5 million in gross proceeds through a registered direct offering and our at-the-market program. We continue to evaluate mitigating actions, including postponing expenses that are not based on firm commitments, and we intend to seek additional financing. However, there is no assurance that we will be able to obtain such financing or secure it on favorable terms. Our cash resources as of June 30, 2026 raised substantial doubt as to our ability to continue as a going concern. Our interim financial statements as of, and for the six-month period ended, June 30, 2026, do not include any adjustments that may be necessary should we be unable to continue as a 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our cash flows during the Reported Period and Comparable Period:</w:t>
      </w:r>
    </w:p>
    <w:p>
      <w:pPr>
        <w:pStyle w:val="TextBody"/>
        <w:bidi w:val="0"/>
        <w:spacing w:before="0" w:after="0"/>
        <w:ind w:left="0" w:right="0" w:firstLine="360"/>
        <w:jc w:val="both"/>
        <w:rPr>
          <w:caps w:val="false"/>
          <w:smallCaps w:val="false"/>
        </w:rPr>
      </w:pPr>
      <w:r>
        <w:rPr>
          <w:caps w:val="false"/>
          <w:smallCaps w:val="false"/>
        </w:rPr>
        <w:t>  </w:t>
      </w:r>
    </w:p>
    <w:tbl>
      <w:tblPr>
        <w:tblW w:w="9206" w:type="dxa"/>
        <w:jc w:val="left"/>
        <w:tblInd w:w="0" w:type="dxa"/>
        <w:tblLayout w:type="fixed"/>
        <w:tblCellMar>
          <w:top w:w="0" w:type="dxa"/>
          <w:left w:w="0" w:type="dxa"/>
          <w:bottom w:w="0" w:type="dxa"/>
          <w:right w:w="0" w:type="dxa"/>
        </w:tblCellMar>
      </w:tblPr>
      <w:tblGrid>
        <w:gridCol w:w="7070"/>
        <w:gridCol w:w="60"/>
        <w:gridCol w:w="141"/>
        <w:gridCol w:w="764"/>
        <w:gridCol w:w="96"/>
        <w:gridCol w:w="60"/>
        <w:gridCol w:w="141"/>
        <w:gridCol w:w="764"/>
        <w:gridCol w:w="110"/>
      </w:tblGrid>
      <w:tr>
        <w:trPr/>
        <w:tc>
          <w:tcPr>
            <w:tcW w:w="70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6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110" w:type="dxa"/>
            <w:tcBorders/>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6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in thousands)</w:t>
            </w:r>
          </w:p>
        </w:tc>
        <w:tc>
          <w:tcPr>
            <w:tcW w:w="110" w:type="dxa"/>
            <w:tcBorders/>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283"/>
              <w:jc w:val="both"/>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764" w:type="dxa"/>
            <w:tcBorders/>
            <w:shd w:fill="CCEEFF" w:val="clear"/>
            <w:vAlign w:val="center"/>
          </w:tcPr>
          <w:p>
            <w:pPr>
              <w:pStyle w:val="TableContents"/>
              <w:bidi w:val="0"/>
              <w:spacing w:before="0" w:after="283"/>
              <w:jc w:val="right"/>
              <w:rPr/>
            </w:pPr>
            <w:r>
              <w:rPr/>
              <w:t>(25,548</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764" w:type="dxa"/>
            <w:tcBorders/>
            <w:shd w:fill="CCEEFF" w:val="clear"/>
            <w:vAlign w:val="center"/>
          </w:tcPr>
          <w:p>
            <w:pPr>
              <w:pStyle w:val="TableContents"/>
              <w:bidi w:val="0"/>
              <w:spacing w:before="0" w:after="283"/>
              <w:jc w:val="right"/>
              <w:rPr/>
            </w:pPr>
            <w:r>
              <w:rPr/>
              <w:t>(19,638</w:t>
            </w:r>
          </w:p>
        </w:tc>
        <w:tc>
          <w:tcPr>
            <w:tcW w:w="110" w:type="dxa"/>
            <w:tcBorders/>
            <w:shd w:fill="CCEEFF" w:val="clear"/>
            <w:vAlign w:val="center"/>
          </w:tcPr>
          <w:p>
            <w:pPr>
              <w:pStyle w:val="TableContents"/>
              <w:bidi w:val="0"/>
              <w:spacing w:before="0" w:after="283"/>
              <w:jc w:val="left"/>
              <w:rPr/>
            </w:pPr>
            <w:r>
              <w:rPr/>
              <w:t>)</w:t>
            </w:r>
          </w:p>
        </w:tc>
      </w:tr>
      <w:tr>
        <w:trPr/>
        <w:tc>
          <w:tcPr>
            <w:tcW w:w="7070" w:type="dxa"/>
            <w:tcBorders/>
            <w:shd w:fill="FFFFFF" w:val="clear"/>
            <w:vAlign w:val="center"/>
          </w:tcPr>
          <w:p>
            <w:pPr>
              <w:pStyle w:val="TableContents"/>
              <w:bidi w:val="0"/>
              <w:spacing w:before="0" w:after="283"/>
              <w:jc w:val="both"/>
              <w:rPr/>
            </w:pPr>
            <w:r>
              <w:rPr/>
              <w:t>Net cash provided by investing activities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7,790</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30,216</w:t>
            </w:r>
          </w:p>
        </w:tc>
        <w:tc>
          <w:tcPr>
            <w:tcW w:w="110" w:type="dxa"/>
            <w:tcBorders/>
            <w:shd w:fill="FFFFFF" w:val="clear"/>
            <w:vAlign w:val="center"/>
          </w:tcPr>
          <w:p>
            <w:pPr>
              <w:pStyle w:val="TableContents"/>
              <w:bidi w:val="0"/>
              <w:spacing w:before="0" w:after="283"/>
              <w:jc w:val="left"/>
              <w:rPr/>
            </w:pPr>
            <w:r>
              <w:rPr/>
              <w:t> </w:t>
            </w:r>
          </w:p>
        </w:tc>
      </w:tr>
      <w:tr>
        <w:trPr/>
        <w:tc>
          <w:tcPr>
            <w:tcW w:w="7070" w:type="dxa"/>
            <w:tcBorders/>
            <w:shd w:fill="CCEEFF" w:val="clear"/>
            <w:vAlign w:val="center"/>
          </w:tcPr>
          <w:p>
            <w:pPr>
              <w:pStyle w:val="TableContents"/>
              <w:bidi w:val="0"/>
              <w:spacing w:before="0" w:after="283"/>
              <w:jc w:val="both"/>
              <w:rPr/>
            </w:pPr>
            <w:r>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(127</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764" w:type="dxa"/>
            <w:tcBorders/>
            <w:shd w:fill="CCEEFF" w:val="clear"/>
            <w:vAlign w:val="center"/>
          </w:tcPr>
          <w:p>
            <w:pPr>
              <w:pStyle w:val="TableContents"/>
              <w:bidi w:val="0"/>
              <w:spacing w:before="0" w:after="283"/>
              <w:jc w:val="right"/>
              <w:rPr/>
            </w:pPr>
            <w:r>
              <w:rPr/>
              <w:t>121</w:t>
            </w:r>
          </w:p>
        </w:tc>
        <w:tc>
          <w:tcPr>
            <w:tcW w:w="110" w:type="dxa"/>
            <w:tcBorders/>
            <w:shd w:fill="CCEEFF" w:val="clear"/>
            <w:vAlign w:val="center"/>
          </w:tcPr>
          <w:p>
            <w:pPr>
              <w:pStyle w:val="TableContents"/>
              <w:bidi w:val="0"/>
              <w:spacing w:before="0" w:after="283"/>
              <w:jc w:val="left"/>
              <w:rPr/>
            </w:pPr>
            <w:r>
              <w:rPr/>
              <w:t> </w:t>
            </w:r>
          </w:p>
        </w:tc>
      </w:tr>
      <w:tr>
        <w:trPr/>
        <w:tc>
          <w:tcPr>
            <w:tcW w:w="7070" w:type="dxa"/>
            <w:tcBorders/>
            <w:shd w:fill="FFFFFF" w:val="clear"/>
            <w:vAlign w:val="center"/>
          </w:tcPr>
          <w:p>
            <w:pPr>
              <w:pStyle w:val="TableContents"/>
              <w:bidi w:val="0"/>
              <w:spacing w:before="0" w:after="283"/>
              <w:jc w:val="both"/>
              <w:rPr/>
            </w:pPr>
            <w:r>
              <w:rPr/>
              <w:t>Effect on changes in exchange rates on cash balances in foreign currencies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shd w:fill="FFFFFF" w:val="clear"/>
            <w:tcMar>
              <w:bottom w:w="28" w:type="dxa"/>
            </w:tcMar>
            <w:vAlign w:val="center"/>
          </w:tcPr>
          <w:p>
            <w:pPr>
              <w:pStyle w:val="TableContents"/>
              <w:bidi w:val="0"/>
              <w:spacing w:before="0" w:after="283"/>
              <w:jc w:val="right"/>
              <w:rPr/>
            </w:pPr>
            <w:r>
              <w:rPr/>
              <w:t>(243</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shd w:fill="FFFFFF" w:val="clear"/>
            <w:tcMar>
              <w:bottom w:w="28" w:type="dxa"/>
            </w:tcMar>
            <w:vAlign w:val="center"/>
          </w:tcPr>
          <w:p>
            <w:pPr>
              <w:pStyle w:val="TableContents"/>
              <w:bidi w:val="0"/>
              <w:spacing w:before="0" w:after="283"/>
              <w:jc w:val="right"/>
              <w:rPr/>
            </w:pPr>
            <w:r>
              <w:rPr/>
              <w:t>(99</w:t>
            </w:r>
          </w:p>
        </w:tc>
        <w:tc>
          <w:tcPr>
            <w:tcW w:w="110" w:type="dxa"/>
            <w:tcBorders/>
            <w:shd w:fill="FFFFFF" w:val="clear"/>
            <w:vAlign w:val="center"/>
          </w:tcPr>
          <w:p>
            <w:pPr>
              <w:pStyle w:val="TableContents"/>
              <w:bidi w:val="0"/>
              <w:spacing w:before="0" w:after="283"/>
              <w:jc w:val="left"/>
              <w:rPr/>
            </w:pPr>
            <w:r>
              <w:rPr/>
              <w:t>)</w:t>
            </w:r>
          </w:p>
        </w:tc>
      </w:tr>
      <w:tr>
        <w:trPr/>
        <w:tc>
          <w:tcPr>
            <w:tcW w:w="7070"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64" w:type="dxa"/>
            <w:tcBorders>
              <w:bottom w:val="double" w:sz="10" w:space="0" w:color="000000"/>
            </w:tcBorders>
            <w:shd w:fill="CCEEFF" w:val="clear"/>
            <w:tcMar>
              <w:bottom w:w="28" w:type="dxa"/>
            </w:tcMar>
            <w:vAlign w:val="center"/>
          </w:tcPr>
          <w:p>
            <w:pPr>
              <w:pStyle w:val="TableContents"/>
              <w:bidi w:val="0"/>
              <w:spacing w:before="0" w:after="283"/>
              <w:jc w:val="right"/>
              <w:rPr/>
            </w:pPr>
            <w:r>
              <w:rPr/>
              <w:t>(18,128</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64" w:type="dxa"/>
            <w:tcBorders>
              <w:bottom w:val="double" w:sz="10" w:space="0" w:color="000000"/>
            </w:tcBorders>
            <w:shd w:fill="CCEEFF" w:val="clear"/>
            <w:tcMar>
              <w:bottom w:w="28" w:type="dxa"/>
            </w:tcMar>
            <w:vAlign w:val="center"/>
          </w:tcPr>
          <w:p>
            <w:pPr>
              <w:pStyle w:val="TableContents"/>
              <w:bidi w:val="0"/>
              <w:spacing w:before="0" w:after="283"/>
              <w:jc w:val="right"/>
              <w:rPr/>
            </w:pPr>
            <w:r>
              <w:rPr/>
              <w:t>10,600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Cash used in Operating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and 2025, net cash used in operating activities was $25.5 million and $19.6 million, respectively, resulting from net loss of $69.8 million and $28.0 million, respectively, adjusted for impairment of intangible assets of $40.7 million and nil, stock-based compensation changes of $1.7 million and $2.3 million, amortization of intangible assets of $5.0 million and $5.3 million, and non-cash charges of $3.1 million and $0.7 million,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Cash provided by Investing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and 2025, net cash provided by investing activities was $7.8 million and $30.2 million, respectively. The change in investing cash flows was primarily due to a decrease in proceeds from maturity of marketable securities of $16.3 million and a decrease of $5.0 million in maturity of short-term deposits.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Cash provided by (used in) Financing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and 2025, net cash provided by (used in) financing activities was $(0.1) million and $0.1 million, respectively. The change was primarily due to a decrease in proceeds from the issuance of ordinary shares and warrants, net of issuance costs, and an increase in payments due to settlement of contingent earnout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 and 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 below in this OFRP certain financial measures that are not prepared in accordance with generally accepted accounting principles in the United States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consisting of non-GAAP net loss and adjusted EBITDA loss. These non-GAAP measures are not based on any standardized methodology prescribed by GAAP and are not necessarily comparable to similar measures presented by other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definition of non-GAAP net loss adjusts GAAP net loss to exclude impairment of intangible assets, share-based compensation expenses, amortization of intangible assets, income related to settlement with a shareholder and changes in earnout liability. The Company’s definition of adjusted EBITDA loss reflects the adjustments described in the preceding sentence to the Company’s GAAP net loss, as further adjusted to exclude depreciation, financial expenses and tax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and board of directors utilize these non-GAAP financial measures to evaluate the Company’s performance. The Company provides these non-GAAP measures of the Company’s performance to investors because management believes that these non-GAAP financial measures, when viewed with the Company’s results under GAAP and the accompanying reconciliations, are useful in identifying underlying trends in ongoing operations. However, these non-GAAP measures are not measures of financial performance under GAAP and, accordingly, should not be considered as alternatives to GAAP measures as indicators of operating performance. Further, these non-GAAP measures should not be considered measures of the Company’s liquidity.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Reconciliation of GAAP net loss to Non-GAAP net loss and to Adjusted EBITDA</w:t>
      </w:r>
    </w:p>
    <w:p>
      <w:pPr>
        <w:pStyle w:val="TextBody"/>
        <w:bidi w:val="0"/>
        <w:spacing w:before="0" w:after="0"/>
        <w:ind w:left="0" w:right="0" w:hanging="0"/>
        <w:jc w:val="both"/>
        <w:rPr>
          <w:caps w:val="false"/>
          <w:smallCaps w:val="false"/>
        </w:rPr>
      </w:pPr>
      <w:r>
        <w:rPr>
          <w:caps w:val="false"/>
          <w:smallCaps w:val="false"/>
        </w:rPr>
        <w:t> </w:t>
      </w:r>
    </w:p>
    <w:tbl>
      <w:tblPr>
        <w:tblW w:w="6537" w:type="dxa"/>
        <w:jc w:val="left"/>
        <w:tblInd w:w="0" w:type="dxa"/>
        <w:tblLayout w:type="fixed"/>
        <w:tblCellMar>
          <w:top w:w="0" w:type="dxa"/>
          <w:left w:w="0" w:type="dxa"/>
          <w:bottom w:w="0" w:type="dxa"/>
          <w:right w:w="0" w:type="dxa"/>
        </w:tblCellMar>
      </w:tblPr>
      <w:tblGrid>
        <w:gridCol w:w="4460"/>
        <w:gridCol w:w="60"/>
        <w:gridCol w:w="64"/>
        <w:gridCol w:w="807"/>
        <w:gridCol w:w="101"/>
        <w:gridCol w:w="64"/>
        <w:gridCol w:w="64"/>
        <w:gridCol w:w="807"/>
        <w:gridCol w:w="110"/>
      </w:tblGrid>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7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in thousands)</w:t>
            </w:r>
          </w:p>
        </w:tc>
        <w:tc>
          <w:tcPr>
            <w:tcW w:w="11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GAAP NET LOSS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(69,752</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(27,961</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Impairment of intangible assets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40,695</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1,710</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2,277</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5,009</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5,306</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income related to settlement with a shareholder</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(482</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changes in earnout liability</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shd w:fill="FFFFFF" w:val="clear"/>
            <w:tcMar>
              <w:bottom w:w="28" w:type="dxa"/>
            </w:tcMar>
            <w:vAlign w:val="center"/>
          </w:tcPr>
          <w:p>
            <w:pPr>
              <w:pStyle w:val="TableContents"/>
              <w:bidi w:val="0"/>
              <w:spacing w:before="0" w:after="283"/>
              <w:jc w:val="right"/>
              <w:rPr/>
            </w:pPr>
            <w:r>
              <w:rPr/>
              <w:t>27</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NON-GAAP NET LOSS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(22,793</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(20,378</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629</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586</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Income tax expenses (benefit)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25</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Financial income</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shd w:fill="FFFFFF" w:val="clear"/>
            <w:tcMar>
              <w:bottom w:w="28" w:type="dxa"/>
            </w:tcMar>
            <w:vAlign w:val="center"/>
          </w:tcPr>
          <w:p>
            <w:pPr>
              <w:pStyle w:val="TableContents"/>
              <w:bidi w:val="0"/>
              <w:spacing w:before="0" w:after="283"/>
              <w:jc w:val="right"/>
              <w:rPr/>
            </w:pPr>
            <w:r>
              <w:rPr/>
              <w:t>(308</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shd w:fill="FFFFFF" w:val="clear"/>
            <w:tcMar>
              <w:bottom w:w="28" w:type="dxa"/>
            </w:tcMar>
            <w:vAlign w:val="center"/>
          </w:tcPr>
          <w:p>
            <w:pPr>
              <w:pStyle w:val="TableContents"/>
              <w:bidi w:val="0"/>
              <w:spacing w:before="0" w:after="283"/>
              <w:jc w:val="right"/>
              <w:rPr/>
            </w:pPr>
            <w:r>
              <w:rPr/>
              <w:t>(616</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7" w:type="dxa"/>
            <w:tcBorders>
              <w:bottom w:val="double" w:sz="10" w:space="0" w:color="000000"/>
            </w:tcBorders>
            <w:shd w:fill="CCEEFF" w:val="clear"/>
            <w:tcMar>
              <w:bottom w:w="28" w:type="dxa"/>
            </w:tcMar>
            <w:vAlign w:val="center"/>
          </w:tcPr>
          <w:p>
            <w:pPr>
              <w:pStyle w:val="TableContents"/>
              <w:bidi w:val="0"/>
              <w:spacing w:before="0" w:after="283"/>
              <w:jc w:val="right"/>
              <w:rPr/>
            </w:pPr>
            <w:r>
              <w:rPr/>
              <w:t>(22,447</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7" w:type="dxa"/>
            <w:tcBorders>
              <w:bottom w:val="double" w:sz="10" w:space="0" w:color="000000"/>
            </w:tcBorders>
            <w:shd w:fill="CCEEFF" w:val="clear"/>
            <w:tcMar>
              <w:bottom w:w="28" w:type="dxa"/>
            </w:tcMar>
            <w:vAlign w:val="center"/>
          </w:tcPr>
          <w:p>
            <w:pPr>
              <w:pStyle w:val="TableContents"/>
              <w:bidi w:val="0"/>
              <w:spacing w:before="0" w:after="283"/>
              <w:jc w:val="right"/>
              <w:rPr/>
            </w:pPr>
            <w:r>
              <w:rPr/>
              <w:t>(20,412</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of 2026, in connection with a significant decline in our share price, we identified indicators of impairment related to our AI Solutions business unit (excluding Nanox Health IT Inc.) and our Nanox. ARC business unit, which are at the lowest level of determining asset groups that generate cash flows separate from other asset groups. The indicator of impairment for each asset group was reduced forecasted revenues and operating results. As a result, we performed undiscounted cash flow analyses at each asset group level pursuant to ASC 360 to determine if the cash flows expected to be generated by each respective reporting unit over the estimated remaining useful life of the respective business unit’s primary asset were sufficient to recover the carrying value of each asset group.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these analyses, we determined the undiscounted cash flows for the Nanox. ARC asset group was sufficient to recover its carrying value whereas the undiscounted cash flows for the AI Solutions asset group was not sufficient to recover the carrying value of its long-lived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we determined the fair value of the AI Solutions asset group. To estimate the fair value of the asset group, we utilized Level 3 measures that represent unobservable inputs, under the income approach, which is based on a discounted cash flow (DCF) analysis using market participants’ assumptions and calculates the fair value by estimating the after-tax cash flows attributable to the asset group and then discounting the after-tax cash flows to present value using a risk-adjusted discount 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used in the DCF require significant judgment, including judgment about appropriate discount rates, growth rates, and the amount and timing of expected future cash flows. Key assumptions used to determine the estimated fair value include: (a) internal cash flows forecasts for 5.5 years following the assessment date, including expected revenue growth, costs to sales and operating expenses and (b) a discount rate of 25.3% (after tax) which reflects the weighted-average cost of capital adjusted for the relevant risk associated with the AI solutions asset group operations and the uncertainty inherent in our internally developed forecasts. The forecasted cash flows for the AI Solutions asset group were based on our most recent strategic plan and for periods beyond the strategic plan, and our estimates were based on assumed growth rates expected as of the measurement date. We believe our assumptions were consistent with the plans and estimate that a market participant would use to manage our business. As a result of this analysis, we determined that the fair value of the asset group was below its carrying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record the asset group to fair value, we recorded an impairment charge of $40.7 million during the second quarter of 2026 recorded to cost of revenues – Impairment of intangible assets, reducing the fair value of this asset group to $1.9 million. The impairment charge was allocated to the long-lived assets on a pro-rata basis as follows: $13.6 million to developed technology and $27.1 million to Image big data. Actual operating results and the related cash flows of the asset group could differ from the estimated operating results and related cash flows. In the event the asset group does not meet its forecasted projections, additional impairment charges could be recorded in the future. We also re-evaluated the remaining useful lives of the intangible assets and concluded no changes were necessary.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Subsequent Events</w:t>
      </w:r>
    </w:p>
    <w:p>
      <w:pPr>
        <w:pStyle w:val="TextBody"/>
        <w:bidi w:val="0"/>
        <w:spacing w:before="0" w:after="0"/>
        <w:ind w:left="0" w:right="0" w:firstLine="360"/>
        <w:jc w:val="both"/>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185"/>
        <w:gridCol w:w="1805"/>
      </w:tblGrid>
      <w:tr>
        <w:trPr/>
        <w:tc>
          <w:tcPr>
            <w:tcW w:w="185" w:type="dxa"/>
            <w:tcBorders/>
            <w:vAlign w:val="center"/>
          </w:tcPr>
          <w:p>
            <w:pPr>
              <w:pStyle w:val="TableContents"/>
              <w:bidi w:val="0"/>
              <w:spacing w:before="0" w:after="283"/>
              <w:jc w:val="both"/>
              <w:rPr>
                <w:b/>
                <w:sz w:val="20"/>
              </w:rPr>
            </w:pPr>
            <w:r>
              <w:rPr>
                <w:b/>
                <w:sz w:val="20"/>
              </w:rPr>
              <w:t>a.</w:t>
            </w:r>
          </w:p>
        </w:tc>
        <w:tc>
          <w:tcPr>
            <w:tcW w:w="1805" w:type="dxa"/>
            <w:tcBorders/>
            <w:vAlign w:val="center"/>
          </w:tcPr>
          <w:p>
            <w:pPr>
              <w:pStyle w:val="TableContents"/>
              <w:bidi w:val="0"/>
              <w:spacing w:before="0" w:after="283"/>
              <w:jc w:val="left"/>
              <w:rPr>
                <w:b/>
                <w:sz w:val="20"/>
              </w:rPr>
            </w:pPr>
            <w:r>
              <w:rPr>
                <w:b/>
                <w:sz w:val="20"/>
              </w:rPr>
              <w:t>At-the-Market Sales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July 2026, we issued a total of 527,300 ordinary shares, utilizing an at-the-market offering facility, resulting in net proceeds of approximately $0.5 million, after deducting sales commissions and estimated offering expenses of $12 thousand paid to Cantor Fitzgerald &amp; Co. and Mizuho Securities USA LLC, as the Sales Agents.</w:t>
      </w:r>
    </w:p>
    <w:p>
      <w:pPr>
        <w:pStyle w:val="TextBody"/>
        <w:bidi w:val="0"/>
        <w:spacing w:before="0" w:after="0"/>
        <w:ind w:left="0" w:right="0" w:firstLine="36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185"/>
        <w:gridCol w:w="2285"/>
      </w:tblGrid>
      <w:tr>
        <w:trPr/>
        <w:tc>
          <w:tcPr>
            <w:tcW w:w="185" w:type="dxa"/>
            <w:tcBorders/>
            <w:vAlign w:val="center"/>
          </w:tcPr>
          <w:p>
            <w:pPr>
              <w:pStyle w:val="TableContents"/>
              <w:bidi w:val="0"/>
              <w:spacing w:before="0" w:after="283"/>
              <w:jc w:val="both"/>
              <w:rPr>
                <w:b/>
                <w:sz w:val="20"/>
              </w:rPr>
            </w:pPr>
            <w:r>
              <w:rPr>
                <w:b/>
                <w:sz w:val="20"/>
              </w:rPr>
              <w:t>b.</w:t>
            </w:r>
          </w:p>
        </w:tc>
        <w:tc>
          <w:tcPr>
            <w:tcW w:w="2285" w:type="dxa"/>
            <w:tcBorders/>
            <w:vAlign w:val="center"/>
          </w:tcPr>
          <w:p>
            <w:pPr>
              <w:pStyle w:val="TableContents"/>
              <w:bidi w:val="0"/>
              <w:spacing w:before="0" w:after="283"/>
              <w:jc w:val="left"/>
              <w:rPr>
                <w:b/>
                <w:sz w:val="20"/>
              </w:rPr>
            </w:pPr>
            <w:r>
              <w:rPr>
                <w:b/>
                <w:sz w:val="20"/>
              </w:rPr>
              <w:t>Registered direct offering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2026, we completed a registered direct offering in which we sold to a single institutional investor 3,700,000 of our ordinary shares and 4,300,000 pre-funded warrants to purchase up to 4,300,000 ordinary shares, along with 8,000,000 ordinary warrants to purchase up to 8,000,000 ordinary shares (representing 100% coverage), at a combined purchase price of $1.00 per ordinary share and accompanying ordinary warrant (or $0.9999 per pre-funded warrant and accompanying ordinary warrant). The pre-funded warrants sold in the offering had an exercise price of $0.0001 per underlying ordinary share, were immediately exercisable, and were not to expire until exercised in full. The ordinary warrants have an exercise price of $1.15 per ordinary share, will be exercisable beginning six months following issuance and will expire five years from the closing date of the offering.  Each of the pre-funded warrants and the ordinary warrants could not be exercised to the extent that exercise would raise the beneficial ownership of the investor above 4.99% of our ordinary shares. All pre-funded warrants were subsequently exercised by the investor, in August 2026. The gross proceeds to the Company from the offering were approximately $8 million, while agent fees and other offering expenses were estimated at $0.65 million.</w:t>
      </w:r>
    </w:p>
    <w:p>
      <w:pPr>
        <w:pStyle w:val="TextBody"/>
        <w:bidi w:val="0"/>
        <w:spacing w:before="0" w:after="0"/>
        <w:ind w:left="0" w:right="0" w:hanging="0"/>
        <w:jc w:val="both"/>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170"/>
        <w:gridCol w:w="1250"/>
      </w:tblGrid>
      <w:tr>
        <w:trPr/>
        <w:tc>
          <w:tcPr>
            <w:tcW w:w="170" w:type="dxa"/>
            <w:tcBorders/>
            <w:vAlign w:val="center"/>
          </w:tcPr>
          <w:p>
            <w:pPr>
              <w:pStyle w:val="TableContents"/>
              <w:bidi w:val="0"/>
              <w:spacing w:before="0" w:after="283"/>
              <w:jc w:val="both"/>
              <w:rPr>
                <w:b/>
                <w:sz w:val="20"/>
              </w:rPr>
            </w:pPr>
            <w:r>
              <w:rPr>
                <w:b/>
                <w:sz w:val="20"/>
              </w:rPr>
              <w:t>c.</w:t>
            </w:r>
          </w:p>
        </w:tc>
        <w:tc>
          <w:tcPr>
            <w:tcW w:w="1250" w:type="dxa"/>
            <w:tcBorders/>
            <w:vAlign w:val="center"/>
          </w:tcPr>
          <w:p>
            <w:pPr>
              <w:pStyle w:val="TableContents"/>
              <w:bidi w:val="0"/>
              <w:spacing w:before="0" w:after="283"/>
              <w:jc w:val="both"/>
              <w:rPr>
                <w:b/>
                <w:sz w:val="20"/>
              </w:rPr>
            </w:pPr>
            <w:r>
              <w:rPr>
                <w:b/>
                <w:sz w:val="20"/>
              </w:rPr>
              <w:t>Grant of RSUs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we granted employees a total of 1,465,256 restricted share units (“</w:t>
      </w:r>
      <w:r>
        <w:rPr>
          <w:rFonts w:ascii="Times New Roman;Times;Serif" w:hAnsi="Times New Roman;Times;Serif"/>
          <w:b/>
          <w:i w:val="false"/>
          <w:caps w:val="false"/>
          <w:smallCaps w:val="false"/>
          <w:sz w:val="20"/>
        </w:rPr>
        <w:t>RSUs</w:t>
      </w:r>
      <w:r>
        <w:rPr>
          <w:rFonts w:ascii="Times New Roman;Times;Serif" w:hAnsi="Times New Roman;Times;Serif"/>
          <w:b w:val="false"/>
          <w:i w:val="false"/>
          <w:caps w:val="false"/>
          <w:smallCaps w:val="false"/>
          <w:sz w:val="20"/>
        </w:rPr>
        <w:t>”). The RSUs will vest and settle for underlying ordinary shares over a period of two years from the grant date, in four equal installments, such that 25% of the RSUs will vest every six months following the grant date, subject to each grantee’s continued service through each applicable vesting date. The fair value of the RSUs was approximately $1.5 million.</w:t>
      </w:r>
    </w:p>
    <w:p>
      <w:pPr>
        <w:pStyle w:val="TextBody"/>
        <w:bidi w:val="0"/>
        <w:spacing w:before="0" w:after="0"/>
        <w:ind w:left="0" w:right="0" w:firstLine="36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185"/>
        <w:gridCol w:w="2345"/>
      </w:tblGrid>
      <w:tr>
        <w:trPr/>
        <w:tc>
          <w:tcPr>
            <w:tcW w:w="185" w:type="dxa"/>
            <w:tcBorders/>
            <w:vAlign w:val="center"/>
          </w:tcPr>
          <w:p>
            <w:pPr>
              <w:pStyle w:val="TableContents"/>
              <w:bidi w:val="0"/>
              <w:spacing w:before="0" w:after="283"/>
              <w:jc w:val="both"/>
              <w:rPr>
                <w:b/>
                <w:sz w:val="20"/>
              </w:rPr>
            </w:pPr>
            <w:r>
              <w:rPr>
                <w:b/>
                <w:sz w:val="20"/>
              </w:rPr>
              <w:t>d.</w:t>
            </w:r>
          </w:p>
        </w:tc>
        <w:tc>
          <w:tcPr>
            <w:tcW w:w="2345" w:type="dxa"/>
            <w:tcBorders/>
            <w:vAlign w:val="center"/>
          </w:tcPr>
          <w:p>
            <w:pPr>
              <w:pStyle w:val="TableContents"/>
              <w:bidi w:val="0"/>
              <w:spacing w:before="0" w:after="283"/>
              <w:jc w:val="both"/>
              <w:rPr>
                <w:b/>
                <w:sz w:val="20"/>
              </w:rPr>
            </w:pPr>
            <w:r>
              <w:rPr>
                <w:b/>
                <w:sz w:val="20"/>
              </w:rPr>
              <w:t>Nanox Korea restructuring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months, we furthered the broad restructuring of our operations in Korea, including transitioning substantially all chip manufacturing activities to qualified third-party manufacturing partners and undertaking other efficiency initiatives, including a 67% reduction in workforce. The restructuring is expected to result in approximately $0.9 million of restructuring-related expenses and is expected to generate annual cost savings of approximately $2 million starting in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5251/000121390026027766/ea0280993-f3_nanox.htm" TargetMode="External"/><Relationship Id="rId3" Type="http://schemas.openxmlformats.org/officeDocument/2006/relationships/hyperlink" Target="https://www.sec.gov/Archives/edgar/data/1795251/000114036120018985/nt10006151x15_s8.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17262</Words>
  <Characters>94839</Characters>
  <CharactersWithSpaces>115797</CharactersWithSpaces>
  <Paragraphs>9385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