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882-6k_nanox.htm"/>
      <w:bookmarkStart w:id="1" w:name="ksea03008826k_nanox"/>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r>
        <w:rPr>
          <w:rFonts w:ascii="Times New Roman;Times;Serif" w:hAnsi="Times New Roman;Times;Serif"/>
          <w:b/>
          <w:i w:val="false"/>
          <w:caps w:val="false"/>
          <w:smallCaps w:val="false"/>
          <w:sz w:val="20"/>
        </w:rPr>
        <w:t>: 001-39461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Israel 4970602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w:t>
      </w:r>
      <w:r>
        <w:rPr>
          <w:rFonts w:ascii="Times New Roman;Times;Serif" w:hAnsi="Times New Roman;Times;Serif"/>
          <w:b w:val="false"/>
          <w:i w:val="false"/>
          <w:caps w:val="false"/>
          <w:smallCaps w:val="false"/>
          <w:sz w:val="20"/>
        </w:rPr>
        <w:t>r”))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a single long-term institutional investor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for the purchase and sale of 8,000,000 of the Company’s ordinary shares, par value NIS 0.01 per share (“</w:t>
      </w:r>
      <w:r>
        <w:rPr>
          <w:rFonts w:ascii="Times New Roman;Times;Serif" w:hAnsi="Times New Roman;Times;Serif"/>
          <w:b/>
          <w:i w:val="false"/>
          <w:caps w:val="false"/>
          <w:smallCaps w:val="false"/>
          <w:sz w:val="20"/>
          <w:shd w:fill="FFFFFF" w:val="clear"/>
        </w:rPr>
        <w:t>ordinary shares</w:t>
      </w:r>
      <w:r>
        <w:rPr>
          <w:rFonts w:ascii="Times New Roman;Times;Serif" w:hAnsi="Times New Roman;Times;Serif"/>
          <w:b w:val="false"/>
          <w:i w:val="false"/>
          <w:caps w:val="false"/>
          <w:smallCaps w:val="false"/>
          <w:sz w:val="20"/>
          <w:shd w:fill="FFFFFF" w:val="clear"/>
        </w:rPr>
        <w:t>”) (or pre-funded warrants in lieu of any portion thereof) and warrants to purchase up to 8,000,000 ordinary shares (the “</w:t>
      </w:r>
      <w:r>
        <w:rPr>
          <w:rFonts w:ascii="Times New Roman;Times;Serif" w:hAnsi="Times New Roman;Times;Serif"/>
          <w:b/>
          <w:i w:val="false"/>
          <w:caps w:val="false"/>
          <w:smallCaps w:val="false"/>
          <w:sz w:val="20"/>
          <w:shd w:fill="FFFFFF" w:val="clear"/>
        </w:rPr>
        <w:t>Warrants</w:t>
      </w:r>
      <w:r>
        <w:rPr>
          <w:rFonts w:ascii="Times New Roman;Times;Serif" w:hAnsi="Times New Roman;Times;Serif"/>
          <w:b w:val="false"/>
          <w:i w:val="false"/>
          <w:caps w:val="false"/>
          <w:smallCaps w:val="false"/>
          <w:sz w:val="20"/>
          <w:shd w:fill="FFFFFF" w:val="clear"/>
        </w:rPr>
        <w:t>”), at a combined purchase price of $1.00 per ordinary share and accompanying Warrant (or $0.9999 per pre-funded warrant and accompanying Warrant), in a registered direct offering. The Warrants have an exercise price of $1.15 per ordinary share, will be exercisable six months following issuance and will expire five years from the closing date. The Purchase Agreement contains customary representations and warranties and agreements of the Company and the Purchaser and customary indemnification rights and obligations of the parties. Closing of the offering is expected to occur on August 7, 2026, subject to the satisfaction of customary closing conditions.</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 Regarding Preliminary Financial Data</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updates that, as part of the preparation of its financial statements for the three months ended June 30, 2026, and in accordance with U.S. GAAP, the Company has initiated a comprehensive impairment assessment across all of its assets, including but not limited to long-lived assets and goodwill. In connection with this assessment, the Company has retained an external independent appraiser to assist in evaluating whether identified events and circumstances require the recognition of impairment charges. This assessment is currently ongoing and has not been completed as of the date of this Report of Foreign Private Issuer on Form 6-K. Accordingly, the Company’s final reported financial results for the period may differ, potentially materially, from the preliminary estimates.</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related to the offering serves as Exhibit 99.1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shall not constitute an offer to sell or the solicitation of an offer to buy these securities or any other securities, nor may there be any offer, solicitation or sale of these securities or any other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28" w:type="dxa"/>
          <w:right w:w="0" w:type="dxa"/>
        </w:tblCellMar>
      </w:tblPr>
      <w:tblGrid>
        <w:gridCol w:w="1205"/>
        <w:gridCol w:w="60"/>
        <w:gridCol w:w="333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335" w:type="dxa"/>
            <w:tcBorders>
              <w:bottom w:val="single" w:sz="12" w:space="0" w:color="000000"/>
            </w:tcBorders>
            <w:vAlign w:val="center"/>
          </w:tcPr>
          <w:p>
            <w:pPr>
              <w:pStyle w:val="TableContents"/>
              <w:bidi w:val="0"/>
              <w:spacing w:before="0" w:after="283"/>
              <w:jc w:val="left"/>
              <w:rPr>
                <w:b/>
              </w:rPr>
            </w:pPr>
            <w:r>
              <w:rPr>
                <w:b/>
              </w:rPr>
              <w:t>Exhibit</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35" w:type="dxa"/>
            <w:tcBorders/>
            <w:shd w:fill="CCEEFF" w:val="clear"/>
            <w:tcMar>
              <w:bottom w:w="0" w:type="dxa"/>
            </w:tcMar>
            <w:vAlign w:val="center"/>
          </w:tcPr>
          <w:p>
            <w:pPr>
              <w:pStyle w:val="TableContents"/>
              <w:bidi w:val="0"/>
              <w:spacing w:before="0" w:after="283"/>
              <w:jc w:val="left"/>
              <w:rPr/>
            </w:pPr>
            <w:hyperlink w:anchor="ea030088201ex99-1.htm">
              <w:r>
                <w:rPr>
                  <w:rStyle w:val="InternetLink"/>
                </w:rPr>
                <w:t>Press release dated August 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75"/>
        <w:gridCol w:w="365"/>
        <w:gridCol w:w="650"/>
        <w:gridCol w:w="5645"/>
      </w:tblGrid>
      <w:tr>
        <w:trPr/>
        <w:tc>
          <w:tcPr>
            <w:tcW w:w="75" w:type="dxa"/>
            <w:tcBorders/>
            <w:vAlign w:val="center"/>
          </w:tcPr>
          <w:p>
            <w:pPr>
              <w:pStyle w:val="TableContents"/>
              <w:bidi w:val="0"/>
              <w:spacing w:before="0" w:after="283"/>
              <w:jc w:val="left"/>
              <w:rPr/>
            </w:pPr>
            <w:r>
              <w:rPr/>
              <w:t> </w:t>
            </w:r>
          </w:p>
        </w:tc>
        <w:tc>
          <w:tcPr>
            <w:tcW w:w="6660" w:type="dxa"/>
            <w:gridSpan w:val="3"/>
            <w:tcBorders/>
            <w:vAlign w:val="center"/>
          </w:tcPr>
          <w:p>
            <w:pPr>
              <w:pStyle w:val="TableContents"/>
              <w:bidi w:val="0"/>
              <w:spacing w:before="0" w:after="283"/>
              <w:jc w:val="left"/>
              <w:rPr/>
            </w:pPr>
            <w:r>
              <w:rPr/>
              <w:t>NANO-X IMAGING LTD</w:t>
            </w:r>
          </w:p>
        </w:tc>
      </w:tr>
      <w:tr>
        <w:trPr/>
        <w:tc>
          <w:tcPr>
            <w:tcW w:w="75" w:type="dxa"/>
            <w:tcBorders/>
            <w:vAlign w:val="center"/>
          </w:tcPr>
          <w:p>
            <w:pPr>
              <w:pStyle w:val="TableContents"/>
              <w:bidi w:val="0"/>
              <w:spacing w:before="0" w:after="283"/>
              <w:jc w:val="left"/>
              <w:rPr/>
            </w:pPr>
            <w:r>
              <w:rPr/>
              <w:t> </w:t>
            </w:r>
          </w:p>
        </w:tc>
        <w:tc>
          <w:tcPr>
            <w:tcW w:w="66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295" w:type="dxa"/>
            <w:gridSpan w:val="2"/>
            <w:tcBorders>
              <w:bottom w:val="single" w:sz="12" w:space="0" w:color="000000"/>
            </w:tcBorders>
            <w:tcMar>
              <w:bottom w:w="28" w:type="dxa"/>
            </w:tcMar>
            <w:vAlign w:val="center"/>
          </w:tcPr>
          <w:p>
            <w:pPr>
              <w:pStyle w:val="TableContents"/>
              <w:bidi w:val="0"/>
              <w:spacing w:before="0" w:after="283"/>
              <w:jc w:val="left"/>
              <w:rPr/>
            </w:pPr>
            <w:r>
              <w:rPr/>
              <w:t>/s/ Erez Meltzer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45" w:type="dxa"/>
            <w:tcBorders/>
            <w:vAlign w:val="center"/>
          </w:tcPr>
          <w:p>
            <w:pPr>
              <w:pStyle w:val="TableContents"/>
              <w:bidi w:val="0"/>
              <w:spacing w:before="0" w:after="283"/>
              <w:jc w:val="left"/>
              <w:rPr/>
            </w:pPr>
            <w:r>
              <w:rPr/>
              <w:t>Erez Meltzer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45" w:type="dxa"/>
            <w:tcBorders/>
            <w:vAlign w:val="center"/>
          </w:tcPr>
          <w:p>
            <w:pPr>
              <w:pStyle w:val="TableContents"/>
              <w:bidi w:val="0"/>
              <w:spacing w:before="0" w:after="283"/>
              <w:jc w:val="left"/>
              <w:rPr/>
            </w:pPr>
            <w:r>
              <w:rPr/>
              <w:t>Chief Executive Officer and Acting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088201ex99-1.htm"/>
      <w:bookmarkStart w:id="3" w:name="ksea030088201ex991"/>
      <w:bookmarkEnd w:id="2"/>
      <w:bookmarkEnd w:id="3"/>
      <w:r>
        <w:rPr>
          <w:b/>
        </w:rPr>
        <w:t>Exhibit 99.1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 Announces Pricing of a $8 Million Registered Direct Offering Priced</w:t>
        <w:br/>
        <w:t xml:space="preserve">At-The-Market Under Nasdaq Rules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August 6, 2026 /GlobeNewsire/ – Nano-X Imaging Ltd. (Nasdaq: NNOX), (“Nano-X” or the “Company”) an innovative medical imaging technology company, today announced that it has entered into a securities purchase agreement with a single long-term institutional investor for the purchase and sale of 8,000,000 Ordinary Shares (or Ordinary Share equivalents in lieu thereof) (the “Ordinary Shares”) and warrants to purchase up to 8,000,000 Ordinary Shares at a combined purchase price of $1.00 per Ordinary Share and accompanying warrant (the “Offering”). The warrants will have an exercise price of $1.15 per Ordinary Share, will be exercisable six months following issuance and will expire five years from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is expected to occur on or about August 7, 2026, subject to the satisfaction of customary closing conditions. The gross proceeds from the Offering are expected to be approximately $8 million, before deducting placement agent fees and other estimated offering expenses. The Company intends to use the net proceeds from the Offering for working capital and general corporate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 is acting as the sole placement agent for the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(or Ordinary Share equivalents in lieu thereof) and warrants to purchase Ordinary Shares are being offered and sold pursuant to a prospectus supplement to be filed with the Securities and Exchange Commission (“SEC”) in connection with a takedown from the Company’s shelf registration statement on Form F-3 (File No. 333-294302), which was amended on March 26, 2026 and declared effective by the Securities and Exchange Commission (“SEC”) on March 30, 2026. The offering is being made only by means of a prospectus supplement and accompanying prospectus which are a part of the effective registration statement. A prospectus supplement and the accompanying prospectus relating to the registered direct offering will be filed with the SEC and will be available on the SEC’s website at www.sec.gov. Additionally, when available, electronic copies of the prospectus supplement and the accompanying prospectus may be obtained from A.G.P./Alliance Global Partners, 590 Madison Avenue, 28th Floor, New York, NY 10022, or by telephone at (212) 624-2060, or by email at prospectus@allianceg.com.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any of the securities in this warrant inducement transaction,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(NASDAQ: NNOX) is focused on driving the world’s transition to preventive health care by delivering an integrated, end-to-end medical imaging and healthcare services platform.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combines affordable imaging hardware, advanced AI-based solutions, cloud-based software, access to remote radiology, health IT solutions, and a marketplace to enable earlier detection, improved clinical efficiency, and broader access to care.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Nanox ecosystem includes Nanox.ARC, a cost-effective, 3D multi-source digital tomosynthesis imaging system designed for ease of use and scalability; Nanox.AI, a suite of AI-based algorithms that augment the interpretation of routine CT imaging to identify early signs often associated with chronic disease; Nanox.CLOUD, a cloud-based platform for secure data management, storage, and advanced imaging analytics; Nanox.MARKETPLACE and USARAD Holdings, which provides access to remote radiology and cardiology experts and comprehensive teleradiology services; and Nanox Health IT combines deep healthcare IT expertise with leading technology partners to deliver RIS, PACS, AI, dictation, and secure infrastructure solutions that streamline workflows and support safer, more efficient care delivery.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integrating imaging technology, AI, cloud infrastructure, clinical expertise, a marketplace, and health information technology, Nanox seeks to lower barriers to adoption, improve utilization, and advance preventive care worldwide.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https://www.nanox.vision.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that are subject to risks and uncertainties. All statements that are not historical facts contained in this press release are forward-looking statements. Such statements include, but are not limited to, statements regarding: the Company’s expected use of proceeds from the Offering and the closing of the Offering.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the Company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Factors that could cause actual results to differ materially from those currently anticipated include: risks related to (i) Nanox’s ability to complete development of the Nanox System; (ii) Nanox’s ability to successfully demonstrate the feasibility of its technology for commercial applications; (iii) Nanox’s history of recurring losses and negative cash flows from operating activities, significant future commitments and the uncertainty regarding the adequacy of Nanox’s liquidity to pursue its complete business objectives, and substantial doubt regarding its ability to continue as a going concern; (iv) Nanox’s expectations regarding the necessity of, timing of filing for, and receipt and maintenance of, regulatory clearances or approvals regarding its technology, the Nanox.ARC and Nanox.CLOUD from regulatory agencies worldwide and its ongoing compliance with applicable quality standards and regulatory requirements; (v) Nanox’s ability to realize the anticipated benefits of the acquisitions, which may be affected by, among other things, competition, brand recognition, the ability of the acquired companies to grow and manage growth profitably and retain their key employees; (vi) Nanox’s ability to enter into and maintain commercially reasonable arrangements with third-party manufacturers and suppliers to manufacture the Nanox.ARC; (vii) the market acceptance of the Nanox System and the proposed pay-per-scan business model; (viii) Nanox’s expectations regarding collaborations with third-parties and their potential benefits; (ix) Nanox’s ability to conduct business globally; (x) changes in global, political, economic, business, competitive, market and regulatory forces; (xi) risks related to the current war between Israel and Hamas and any worsening of the situation in Israel; and (xii) risks related to litigation which may result in significant liability and damage to the Company’s reputation. For a discussion of other risks and uncertainties, and other important factors, any of which could cause Nanox’s actual results to differ from those contained in the Forward-Looking Statements, see the section titled “Risk Factors” in Nanox’s Annual Report on Form 20-F for the year ended December 31, 2025, and subsequent filings with the U.S. Securities and Exchange Commission. The reader should not place undue reliance on any forward-looking statements included in this press release. Except as required by law, Nanox undertakes no obligation to update publicly any forward-looking statements after the date of this press release to conform these statements to actual results or to changes in the Company’s expectations.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Cavanaugh, ICR Healthcare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mike.cavanaugh@icrhealthcare.com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nanox@icrinc.com</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1780</Words>
  <Characters>10372</Characters>
  <CharactersWithSpaces>12157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