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Meltzer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3"/>
        <w:gridCol w:w="772"/>
        <w:gridCol w:w="600"/>
        <w:gridCol w:w="347"/>
        <w:gridCol w:w="926"/>
        <w:gridCol w:w="449"/>
        <w:gridCol w:w="666"/>
        <w:gridCol w:w="1154"/>
        <w:gridCol w:w="991"/>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0.78</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55,443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 wholly owned company</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60,584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02/11/2030</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40,234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in this row were purchased by Oud Nof, a company wholly owned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reported in this row were granted to the Reporting Person by the Issuer on February 11,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reported in this row were granted to the Reporting Person by the Issuer on January 2,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April 16, 2024, and vest and become exercisable in accordance with the following schedule: 25% of the options vested upon the one-year anniversary of the grant, and an additional 6.25% of the options vest on a quarterly basis over the following three years such that all options reported in this row will be fully vested on the four-year anniversary of that grant date (April 16,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40101ex24-1.htm"/>
      <w:bookmarkStart w:id="3" w:name="ksea030540101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“Company”), with full power of substitution, signing individually, the undersigned’s true and lawful attorney-in 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590"/>
        <w:gridCol w:w="131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3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Erez Meltzer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310" w:type="dxa"/>
            <w:tcBorders/>
            <w:vAlign w:val="center"/>
          </w:tcPr>
          <w:p>
            <w:pPr>
              <w:pStyle w:val="TableContents"/>
              <w:bidi w:val="0"/>
              <w:spacing w:before="0" w:after="283"/>
              <w:jc w:val="left"/>
              <w:rPr>
                <w:sz w:val="20"/>
              </w:rPr>
            </w:pPr>
            <w:r>
              <w:rPr>
                <w:sz w:val="20"/>
              </w:rPr>
              <w:t>Erez Meltzer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1973"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1347</Words>
  <Characters>7060</Characters>
  <CharactersWithSpaces>8305</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