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857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857240"/>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Alroy Erez</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060" w:type="dxa"/>
            <w:vAlign w:val="bottom"/>
            <w:tcBorders>
              <w:top w:val="single" w:sz="8" w:color="0000EE"/>
              <w:bottom w:val="single" w:sz="8" w:color="9A9A9A"/>
            </w:tcBorders>
          </w:tcPr>
          <w:p>
            <w:pPr>
              <w:spacing w:after="0"/>
              <w:rPr>
                <w:sz w:val="17"/>
                <w:szCs w:val="17"/>
                <w:color w:val="auto"/>
              </w:rPr>
            </w:pPr>
          </w:p>
        </w:tc>
        <w:tc>
          <w:tcPr>
            <w:tcW w:w="20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Nano-X Imaging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NNOX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577"/>
        <w:spacing w:after="0" w:line="275" w:lineRule="auto"/>
        <w:rPr>
          <w:sz w:val="20"/>
          <w:szCs w:val="20"/>
          <w:color w:val="auto"/>
        </w:rPr>
      </w:pPr>
      <w:r>
        <w:rPr>
          <w:rFonts w:ascii="Times New Roman" w:cs="Times New Roman" w:eastAsia="Times New Roman" w:hAnsi="Times New Roman"/>
          <w:sz w:val="20"/>
          <w:szCs w:val="20"/>
          <w:color w:val="0000FF"/>
        </w:rPr>
        <w:t>C/O NANO-X IMAGING LTD., OFER TECH PARK</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94 SHLOMO SHMELTZER ROAD</w:t>
      </w:r>
    </w:p>
    <w:p>
      <w:pPr>
        <w:spacing w:after="0" w:line="34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20" w:type="dxa"/>
            <w:vAlign w:val="bottom"/>
          </w:tcPr>
          <w:p>
            <w:pPr>
              <w:spacing w:after="0"/>
              <w:rPr>
                <w:sz w:val="20"/>
                <w:szCs w:val="20"/>
                <w:color w:val="auto"/>
              </w:rPr>
            </w:pPr>
            <w:r>
              <w:rPr>
                <w:rFonts w:ascii="Arial" w:cs="Arial" w:eastAsia="Arial" w:hAnsi="Arial"/>
                <w:sz w:val="15"/>
                <w:szCs w:val="15"/>
                <w:color w:val="auto"/>
              </w:rPr>
              <w:t>(Street)</w:t>
            </w: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9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PETACH</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20"/>
                <w:szCs w:val="20"/>
                <w:color w:val="0000FF"/>
              </w:rPr>
              <w:t>L3</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4970602</w:t>
            </w:r>
          </w:p>
        </w:tc>
        <w:tc>
          <w:tcPr>
            <w:tcW w:w="0" w:type="dxa"/>
            <w:vAlign w:val="bottom"/>
          </w:tcPr>
          <w:p>
            <w:pPr>
              <w:spacing w:after="0"/>
              <w:rPr>
                <w:sz w:val="1"/>
                <w:szCs w:val="1"/>
                <w:color w:val="auto"/>
              </w:rPr>
            </w:pPr>
          </w:p>
        </w:tc>
      </w:tr>
      <w:tr>
        <w:trPr>
          <w:trHeight w:val="134"/>
        </w:trPr>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TIKVA</w:t>
            </w:r>
          </w:p>
        </w:tc>
        <w:tc>
          <w:tcPr>
            <w:tcW w:w="76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58"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Ordinary shares</w:t>
            </w:r>
          </w:p>
        </w:tc>
        <w:tc>
          <w:tcPr>
            <w:tcW w:w="9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740" w:type="dxa"/>
            <w:vAlign w:val="bottom"/>
          </w:tcPr>
          <w:p>
            <w:pPr>
              <w:jc w:val="right"/>
              <w:ind w:right="534"/>
              <w:spacing w:after="0"/>
              <w:rPr>
                <w:sz w:val="20"/>
                <w:szCs w:val="20"/>
                <w:color w:val="auto"/>
              </w:rPr>
            </w:pPr>
            <w:r>
              <w:rPr>
                <w:rFonts w:ascii="Times New Roman" w:cs="Times New Roman" w:eastAsia="Times New Roman" w:hAnsi="Times New Roman"/>
                <w:sz w:val="20"/>
                <w:szCs w:val="20"/>
                <w:color w:val="0000FF"/>
              </w:rPr>
              <w:t>6,962</w:t>
            </w:r>
          </w:p>
        </w:tc>
        <w:tc>
          <w:tcPr>
            <w:tcW w:w="88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Ordinary shares</w:t>
            </w:r>
            <w:r>
              <w:rPr>
                <w:rFonts w:ascii="Times New Roman" w:cs="Times New Roman" w:eastAsia="Times New Roman" w:hAnsi="Times New Roman"/>
                <w:sz w:val="25"/>
                <w:szCs w:val="25"/>
                <w:color w:val="008000"/>
                <w:vertAlign w:val="superscript"/>
              </w:rPr>
              <w:t>(1)</w:t>
            </w: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jc w:val="right"/>
              <w:ind w:right="494"/>
              <w:spacing w:after="0"/>
              <w:rPr>
                <w:sz w:val="20"/>
                <w:szCs w:val="20"/>
                <w:color w:val="auto"/>
              </w:rPr>
            </w:pPr>
            <w:r>
              <w:rPr>
                <w:rFonts w:ascii="Times New Roman" w:cs="Times New Roman" w:eastAsia="Times New Roman" w:hAnsi="Times New Roman"/>
                <w:sz w:val="20"/>
                <w:szCs w:val="20"/>
                <w:color w:val="0000FF"/>
              </w:rPr>
              <w:t>17,544</w:t>
            </w:r>
          </w:p>
        </w:tc>
        <w:tc>
          <w:tcPr>
            <w:tcW w:w="88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3080" w:type="dxa"/>
            <w:vAlign w:val="bottom"/>
            <w:tcBorders>
              <w:top w:val="single" w:sz="8" w:color="2C2C2C"/>
            </w:tcBorders>
          </w:tcPr>
          <w:p>
            <w:pPr>
              <w:spacing w:after="0"/>
              <w:rPr>
                <w:sz w:val="22"/>
                <w:szCs w:val="22"/>
                <w:color w:val="auto"/>
              </w:rPr>
            </w:pPr>
          </w:p>
        </w:tc>
        <w:tc>
          <w:tcPr>
            <w:tcW w:w="5420" w:type="dxa"/>
            <w:vAlign w:val="bottom"/>
            <w:tcBorders>
              <w:top w:val="single" w:sz="8" w:color="2C2C2C"/>
            </w:tcBorders>
            <w:gridSpan w:val="6"/>
          </w:tcPr>
          <w:p>
            <w:pPr>
              <w:ind w:left="8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500" w:type="dxa"/>
            <w:vAlign w:val="bottom"/>
            <w:gridSpan w:val="7"/>
          </w:tcPr>
          <w:p>
            <w:pPr>
              <w:ind w:left="2760"/>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0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8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 ordinary</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12/28/2032</w:t>
            </w:r>
          </w:p>
        </w:tc>
        <w:tc>
          <w:tcPr>
            <w:tcW w:w="174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0000FF"/>
              </w:rPr>
              <w:t>Ordinary shares</w:t>
            </w:r>
          </w:p>
        </w:tc>
        <w:tc>
          <w:tcPr>
            <w:tcW w:w="84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0000FF"/>
              </w:rPr>
              <w:t>50,000</w:t>
            </w:r>
          </w:p>
        </w:tc>
        <w:tc>
          <w:tcPr>
            <w:tcW w:w="40" w:type="dxa"/>
            <w:vAlign w:val="bottom"/>
          </w:tcPr>
          <w:p>
            <w:pPr>
              <w:spacing w:after="0"/>
              <w:rPr>
                <w:sz w:val="24"/>
                <w:szCs w:val="24"/>
                <w:color w:val="auto"/>
              </w:rPr>
            </w:pPr>
          </w:p>
        </w:tc>
        <w:tc>
          <w:tcPr>
            <w:tcW w:w="940" w:type="dxa"/>
            <w:vAlign w:val="bottom"/>
            <w:vMerge w:val="restart"/>
          </w:tcPr>
          <w:p>
            <w:pPr>
              <w:ind w:left="220"/>
              <w:spacing w:after="0"/>
              <w:rPr>
                <w:sz w:val="20"/>
                <w:szCs w:val="20"/>
                <w:color w:val="auto"/>
              </w:rPr>
            </w:pPr>
            <w:r>
              <w:rPr>
                <w:rFonts w:ascii="Times New Roman" w:cs="Times New Roman" w:eastAsia="Times New Roman" w:hAnsi="Times New Roman"/>
                <w:sz w:val="20"/>
                <w:szCs w:val="20"/>
                <w:color w:val="0000FF"/>
              </w:rPr>
              <w:t>17.63</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shares)</w:t>
            </w: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 ordinary</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12/31/2033</w:t>
            </w:r>
          </w:p>
        </w:tc>
        <w:tc>
          <w:tcPr>
            <w:tcW w:w="174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0000FF"/>
              </w:rPr>
              <w:t>Ordinary shares</w:t>
            </w:r>
          </w:p>
        </w:tc>
        <w:tc>
          <w:tcPr>
            <w:tcW w:w="84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0000FF"/>
              </w:rPr>
              <w:t>10,000</w:t>
            </w:r>
          </w:p>
        </w:tc>
        <w:tc>
          <w:tcPr>
            <w:tcW w:w="40" w:type="dxa"/>
            <w:vAlign w:val="bottom"/>
          </w:tcPr>
          <w:p>
            <w:pPr>
              <w:spacing w:after="0"/>
              <w:rPr>
                <w:sz w:val="24"/>
                <w:szCs w:val="24"/>
                <w:color w:val="auto"/>
              </w:rPr>
            </w:pPr>
          </w:p>
        </w:tc>
        <w:tc>
          <w:tcPr>
            <w:tcW w:w="94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11.52</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shares)</w:t>
            </w: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44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ordinary shares reported in this row consist of shares underlying restricted share units that were granted to the Reporting Person on December 10, 2025 and that vest in twelve equal monthly installments such that they will be fully vested upon the one-year anniversary of the grant date.</w:t>
      </w:r>
    </w:p>
    <w:p>
      <w:pPr>
        <w:spacing w:after="0" w:line="17" w:lineRule="exact"/>
        <w:rPr>
          <w:rFonts w:ascii="Times New Roman" w:cs="Times New Roman" w:eastAsia="Times New Roman" w:hAnsi="Times New Roman"/>
          <w:sz w:val="15"/>
          <w:szCs w:val="15"/>
          <w:color w:val="008000"/>
        </w:rPr>
      </w:pPr>
    </w:p>
    <w:p>
      <w:pPr>
        <w:ind w:left="40" w:right="4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options reported in this row were granted to the Reporting Person by the Issuer on December 28, 2022 and vest and become exercisable in 16 equal quarterly installments of 6.25% each on each three-month anniversary of the date of appointment of the Reporting Person to the Issuer's Board of Directors on June 30, 2022, such that all options reported in this row will be exercisable on the four-year anniversary of that appointment date (June 30, 2026).</w:t>
      </w:r>
    </w:p>
    <w:p>
      <w:pPr>
        <w:spacing w:after="0" w:line="29" w:lineRule="exact"/>
        <w:rPr>
          <w:rFonts w:ascii="Times New Roman" w:cs="Times New Roman" w:eastAsia="Times New Roman" w:hAnsi="Times New Roman"/>
          <w:sz w:val="15"/>
          <w:szCs w:val="15"/>
          <w:color w:val="008000"/>
        </w:rPr>
      </w:pPr>
    </w:p>
    <w:p>
      <w:pPr>
        <w:ind w:left="40" w:right="10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options reported in this row were granted to the Reporting Person by the Issuer on December 31, 2023 and vest and become exercisable in 16 equal installments of 6.25% each on each three-month anniversary of the date of approval of the grant by the Issuer's Board of Directors (i.e., August 14, 2023), such that all options reported in this row will be exercisable on the four-year anniversary of that grant approval date (August 14, 2027).</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24.1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Marina Gofman Feler,</w:t>
            </w:r>
          </w:p>
        </w:tc>
        <w:tc>
          <w:tcPr>
            <w:tcW w:w="1120" w:type="dxa"/>
            <w:vAlign w:val="bottom"/>
            <w:gridSpan w:val="2"/>
            <w:vMerge w:val="restart"/>
          </w:tcPr>
          <w:p>
            <w:pPr>
              <w:ind w:left="220"/>
              <w:spacing w:after="0"/>
              <w:rPr>
                <w:sz w:val="20"/>
                <w:szCs w:val="20"/>
                <w:color w:val="auto"/>
              </w:rPr>
            </w:pPr>
            <w:r>
              <w:rPr>
                <w:rFonts w:ascii="Times New Roman" w:cs="Times New Roman" w:eastAsia="Times New Roman" w:hAnsi="Times New Roman"/>
                <w:sz w:val="20"/>
                <w:szCs w:val="20"/>
                <w:color w:val="0000FF"/>
                <w:w w:val="96"/>
              </w:rPr>
              <w:t>04/07/2026</w:t>
            </w: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960" w:type="dxa"/>
            <w:vAlign w:val="bottom"/>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11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96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196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220" w:type="dxa"/>
            <w:vAlign w:val="bottom"/>
          </w:tcPr>
          <w:p>
            <w:pPr>
              <w:spacing w:after="0"/>
              <w:rPr>
                <w:sz w:val="20"/>
                <w:szCs w:val="20"/>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196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22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196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50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50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4"/>
          <w:szCs w:val="24"/>
          <w:b w:val="1"/>
          <w:bCs w:val="1"/>
          <w:color w:val="auto"/>
        </w:rPr>
        <w:t>Exhibit 24.1</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ind w:right="100" w:firstLine="720"/>
        <w:spacing w:after="0" w:line="266"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Marina Gofman Feler, Chief Legal Officer of Nano-X Imaging Ltd.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with full power of substitution, signing individually, the undersigned’s true and lawful attorney-in fact and agent to:</w:t>
      </w:r>
    </w:p>
    <w:p>
      <w:pPr>
        <w:spacing w:after="0" w:line="196" w:lineRule="exact"/>
        <w:rPr>
          <w:sz w:val="20"/>
          <w:szCs w:val="20"/>
          <w:color w:val="auto"/>
        </w:rPr>
      </w:pPr>
    </w:p>
    <w:p>
      <w:pPr>
        <w:ind w:right="460" w:firstLine="720"/>
        <w:spacing w:after="0" w:line="258" w:lineRule="auto"/>
        <w:tabs>
          <w:tab w:leader="none" w:pos="9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the undersigned’s name and on the undersigned’s behalf, and submit to the Securities and Exchange Commission (the “</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Forms 3, 4 and 5 (including amendments thereto and joint filing agreements in connection therewith) in accordance with Section 16(a) of the Securities Exchange Act of 1934, as amended and the rules and regulations thereunder (the “</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in the undersigned’s capacity as an officer, director or beneficial owner of more than 10% of a registered class of securities of the Company;</w:t>
      </w:r>
    </w:p>
    <w:p>
      <w:pPr>
        <w:spacing w:after="0" w:line="205" w:lineRule="exact"/>
        <w:rPr>
          <w:sz w:val="20"/>
          <w:szCs w:val="20"/>
          <w:color w:val="auto"/>
        </w:rPr>
      </w:pPr>
    </w:p>
    <w:p>
      <w:pPr>
        <w:ind w:right="120" w:firstLine="720"/>
        <w:spacing w:after="0" w:line="266" w:lineRule="auto"/>
        <w:tabs>
          <w:tab w:leader="none" w:pos="9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that may be necessary or desirable to execute such Forms 3, 4, or 5, (including any amendments thereto) and timely file such forms with the SEC, and any stock exchange, self-regulatory association or similar authority; and</w:t>
      </w:r>
    </w:p>
    <w:p>
      <w:pPr>
        <w:spacing w:after="0" w:line="195" w:lineRule="exact"/>
        <w:rPr>
          <w:rFonts w:ascii="Times New Roman" w:cs="Times New Roman" w:eastAsia="Times New Roman" w:hAnsi="Times New Roman"/>
          <w:sz w:val="20"/>
          <w:szCs w:val="20"/>
          <w:color w:val="auto"/>
        </w:rPr>
      </w:pPr>
    </w:p>
    <w:p>
      <w:pPr>
        <w:ind w:right="40" w:firstLine="720"/>
        <w:spacing w:after="0" w:line="261" w:lineRule="auto"/>
        <w:tabs>
          <w:tab w:leader="none" w:pos="917"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nature whatsoever in connection with the foregoing that,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ind w:right="100"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attorney-in-fact, and his substitutes, in serving in such capacity at the request of the undersigned, is not assuming (nor is the Company assuming) any of the undersigned’s responsibilities to comply with Section 16 of the Exchange Act.</w:t>
      </w:r>
    </w:p>
    <w:p>
      <w:pPr>
        <w:spacing w:after="0" w:line="210" w:lineRule="exact"/>
        <w:rPr>
          <w:sz w:val="20"/>
          <w:szCs w:val="20"/>
          <w:color w:val="auto"/>
        </w:rPr>
      </w:pPr>
    </w:p>
    <w:p>
      <w:pPr>
        <w:ind w:right="120" w:firstLine="720"/>
        <w:spacing w:after="0" w:line="261"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attorney-in-fact or (c) as to any attorney-in-fact individually, until such attorney-in-fact is no longer employed by the Company.</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18th day of March,</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2026.</w:t>
      </w:r>
    </w:p>
    <w:p>
      <w:pPr>
        <w:spacing w:after="0" w:line="230" w:lineRule="exact"/>
        <w:rPr>
          <w:sz w:val="20"/>
          <w:szCs w:val="20"/>
          <w:color w:val="auto"/>
        </w:rPr>
      </w:pPr>
    </w:p>
    <w:tbl>
      <w:tblPr>
        <w:tblLayout w:type="fixed"/>
        <w:tblInd w:w="6580" w:type="dxa"/>
        <w:tblCellMar>
          <w:top w:w="0" w:type="dxa"/>
          <w:left w:w="0" w:type="dxa"/>
          <w:bottom w:w="0" w:type="dxa"/>
          <w:right w:w="0" w:type="dxa"/>
        </w:tblCellMar>
      </w:tblPr>
      <w:tr>
        <w:trPr>
          <w:trHeight w:val="270"/>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7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/s/ Erez Alroy</w:t>
            </w:r>
          </w:p>
        </w:tc>
      </w:tr>
      <w:tr>
        <w:trPr>
          <w:trHeight w:val="260"/>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80" w:type="dxa"/>
            <w:vAlign w:val="bottom"/>
          </w:tcPr>
          <w:p>
            <w:pPr>
              <w:spacing w:after="0"/>
              <w:rPr>
                <w:sz w:val="22"/>
                <w:szCs w:val="22"/>
                <w:color w:val="auto"/>
              </w:rPr>
            </w:pPr>
          </w:p>
        </w:tc>
        <w:tc>
          <w:tcPr>
            <w:tcW w:w="37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Erez Alroy</w:t>
            </w:r>
          </w:p>
        </w:tc>
      </w:tr>
    </w:tbl>
    <w:p>
      <w:pPr>
        <w:spacing w:after="0" w:line="1" w:lineRule="exact"/>
        <w:rPr>
          <w:sz w:val="20"/>
          <w:szCs w:val="20"/>
          <w:color w:val="auto"/>
        </w:rPr>
      </w:pPr>
    </w:p>
    <w:sectPr>
      <w:pgSz w:w="11900" w:h="16838" w:orient="portrait"/>
      <w:cols w:equalWidth="0" w:num="1">
        <w:col w:w="10940"/>
      </w:cols>
      <w:pgMar w:left="480" w:top="10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70040" TargetMode="External"/><Relationship Id="rId11" Type="http://schemas.openxmlformats.org/officeDocument/2006/relationships/hyperlink" Target="http://www.sec.gov/cgi-bin/browse-edgar?action=getcompany&amp;CIK=00017952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2026-04-07T07:39:04Z</dcterms:created>
  <dcterms:modified xsi:type="dcterms:W3CDTF">2026-04-07T07:39:04Z</dcterms:modified>
</cp:coreProperties>
</file>