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Meltzer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4927920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3"/>
        <w:gridCol w:w="772"/>
        <w:gridCol w:w="600"/>
        <w:gridCol w:w="347"/>
        <w:gridCol w:w="926"/>
        <w:gridCol w:w="449"/>
        <w:gridCol w:w="666"/>
        <w:gridCol w:w="1154"/>
        <w:gridCol w:w="991"/>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wholly owned company</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were purchased by Oud Nof, a company wholly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by the Issuer on February 11,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January 2,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April 16, 2024, and vest and become exercisable in accordance with the following schedule: 25% of the options vested upon the one-year anniversary of the grant, and an additional 6.25% of the options vest on a quarterly basis over the following three years such that all options reported in this row will be fully vested on the four-year anniversary of that grant date (April 16,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9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4356</Characters>
  <CharactersWithSpaces>5080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