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Meltzer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NANO-X IMAGING LTD., OFER TECH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SHMELTZER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PETACH TIKVA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Nano-X Imaging Ltd.</w:t>
              </w:r>
            </w:hyperlink>
            <w:r>
              <w:rPr/>
              <w:t xml:space="preserve"> [ </w:t>
            </w:r>
            <w:r>
              <w:rPr>
                <w:rFonts w:ascii="Times;serif" w:hAnsi="Times;serif"/>
                <w:color w:val="0000FF"/>
                <w:sz w:val="24"/>
                <w:shd w:fill="FFFFFF" w:val="clear"/>
              </w:rPr>
              <w:t>NNOX</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846"/>
        <w:gridCol w:w="454"/>
        <w:gridCol w:w="670"/>
        <w:gridCol w:w="1163"/>
        <w:gridCol w:w="998"/>
        <w:gridCol w:w="10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9,443</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45,443</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 wholly owned company</w:t>
            </w:r>
            <w:r>
              <w:rPr>
                <w:rFonts w:ascii="Times;serif" w:hAnsi="Times;serif"/>
                <w:color w:val="008000"/>
                <w:position w:val="7"/>
                <w:sz w:val="16"/>
                <w:sz w:val="20"/>
                <w:shd w:fill="FFFFFF" w:val="clear"/>
              </w:rPr>
              <w:t>(1)</w:t>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(2)</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60,584</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3"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6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02/11/2030</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40,234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23.84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04/16/2034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reported in this row were purchased by Oud Nof, a company wholly owned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reported in this row were granted to the Reporting Person by the Issuer on February 11, 2020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reported in this row were granted to the Reporting Person by the Issuer on January 2, 2020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reported in this row were granted to the Reporting Person by the Issuer on April 16, 2024, and vest and become exercisable in accordance with the following schedule: 25% of the options vested upon the one-year anniversary of the grant, and an additional 6.25% of the options vest on a quarterly basis over the following three years such that all options reported in this row will be fully vested on the four-year anniversary of that grant date (April 16,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Exhibit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Marina Gofman Feler,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152701ex24-1.htm"/>
      <w:bookmarkStart w:id="3" w:name="ksea030152701ex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Marina Gofman Feler, Chief Legal Officer of Nano-X Imaging Ltd. (the “Company”), with full power of substitution, signing individually, the undersigned’s true and lawful attorney-in fact and agent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the undersigned’s capacity as an officer, director or beneficial owner of more than 10% of a registered class of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18th day of March, 2026.</w:t>
      </w:r>
    </w:p>
    <w:p>
      <w:pPr>
        <w:pStyle w:val="TextBody"/>
        <w:bidi w:val="0"/>
        <w:spacing w:before="0" w:after="0"/>
        <w:ind w:left="0" w:right="0" w:firstLine="72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545"/>
        <w:gridCol w:w="1310"/>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Erez Meltzer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Erez Meltzer</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1973" TargetMode="External"/><Relationship Id="rId5" Type="http://schemas.openxmlformats.org/officeDocument/2006/relationships/hyperlink" Target="http://www.sec.gov/cgi-bin/browse-edgar?action=getcompany&amp;CIK=0001795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1350</Words>
  <Characters>7064</Characters>
  <CharactersWithSpaces>8311</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