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57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57290"/>
                    </a:xfrm>
                    <a:prstGeom prst="rect">
                      <a:avLst/>
                    </a:prstGeom>
                    <a:noFill/>
                  </pic:spPr>
                </pic:pic>
              </a:graphicData>
            </a:graphic>
          </wp:anchor>
        </w:drawing>
      </w:r>
    </w:p>
    <w:p>
      <w:pPr>
        <w:sectPr>
          <w:pgSz w:w="11900" w:h="1688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Yahav Attias Gali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Nano-X Imaging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NNOX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80"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C/O NANO-X IMAGING LTD., OFER TECH PARK</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94 SHLOMO SHMELTZER ROAD</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PETACH</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4970602</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TIKVA</w:t>
            </w:r>
          </w:p>
        </w:tc>
        <w:tc>
          <w:tcPr>
            <w:tcW w:w="7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20"/>
          <w:szCs w:val="20"/>
          <w:color w:val="0000FF"/>
        </w:rPr>
        <w:t>Chief Corporate Resources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80"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20,000</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39,474</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0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09/30/2031</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4"/>
              <w:spacing w:after="0"/>
              <w:rPr>
                <w:sz w:val="20"/>
                <w:szCs w:val="20"/>
                <w:color w:val="auto"/>
              </w:rPr>
            </w:pPr>
            <w:r>
              <w:rPr>
                <w:rFonts w:ascii="Times New Roman" w:cs="Times New Roman" w:eastAsia="Times New Roman" w:hAnsi="Times New Roman"/>
                <w:sz w:val="20"/>
                <w:szCs w:val="20"/>
                <w:color w:val="0000FF"/>
                <w:w w:val="97"/>
              </w:rPr>
              <w:t>6,500</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23.86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03/28/2032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8"/>
              </w:rPr>
              <w:t>12,500</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17.63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05/23/2033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4"/>
              <w:spacing w:after="0"/>
              <w:rPr>
                <w:sz w:val="20"/>
                <w:szCs w:val="20"/>
                <w:color w:val="auto"/>
              </w:rPr>
            </w:pPr>
            <w:r>
              <w:rPr>
                <w:rFonts w:ascii="Times New Roman" w:cs="Times New Roman" w:eastAsia="Times New Roman" w:hAnsi="Times New Roman"/>
                <w:sz w:val="20"/>
                <w:szCs w:val="20"/>
                <w:color w:val="0000FF"/>
                <w:w w:val="98"/>
              </w:rPr>
              <w:t>40,000</w:t>
            </w:r>
          </w:p>
        </w:tc>
        <w:tc>
          <w:tcPr>
            <w:tcW w:w="40" w:type="dxa"/>
            <w:vAlign w:val="bottom"/>
          </w:tcPr>
          <w:p>
            <w:pPr>
              <w:spacing w:after="0"/>
              <w:rPr>
                <w:sz w:val="24"/>
                <w:szCs w:val="24"/>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11.52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February 5, 2026, of which 50% will vest on the 12-month anniversary of the grant date and the remaining 50% will vest on the 24-month anniversary of the grant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September 30, 2021 and are fully vested and exercisable as of the date of this report.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March 28, 2022 and vest and become exercisable in 16 equal quarterly installments of</w:t>
      </w:r>
    </w:p>
    <w:p>
      <w:pPr>
        <w:spacing w:after="0" w:line="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6.25% each on each three-month anniversary of the grant date, such that all options reported in this row will be exercisable by the four-year anniversary of the grant date (March 28,</w:t>
      </w:r>
    </w:p>
    <w:p>
      <w:pPr>
        <w:ind w:left="40"/>
        <w:spacing w:after="0"/>
        <w:rPr>
          <w:sz w:val="20"/>
          <w:szCs w:val="20"/>
          <w:color w:val="auto"/>
        </w:rPr>
      </w:pPr>
      <w:r>
        <w:rPr>
          <w:rFonts w:ascii="Times New Roman" w:cs="Times New Roman" w:eastAsia="Times New Roman" w:hAnsi="Times New Roman"/>
          <w:sz w:val="15"/>
          <w:szCs w:val="15"/>
          <w:color w:val="008000"/>
        </w:rPr>
        <w:t>2026).</w:t>
      </w:r>
    </w:p>
    <w:p>
      <w:pPr>
        <w:spacing w:after="0" w:line="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4. The options reported in this row were granted to the Reporting Person by the Issuer on May 23, 2023 and vest and become exercisable in 16 equal quarterly installments of</w:t>
      </w:r>
    </w:p>
    <w:p>
      <w:pPr>
        <w:spacing w:after="0" w:line="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6.25% each on each three-month anniversary of the grant date, such that all options reported in this row will be exercisable by the four-year anniversary of the grant date (May 23,</w:t>
      </w:r>
    </w:p>
    <w:p>
      <w:pPr>
        <w:ind w:left="40"/>
        <w:spacing w:after="0"/>
        <w:rPr>
          <w:sz w:val="20"/>
          <w:szCs w:val="20"/>
          <w:color w:val="auto"/>
        </w:rPr>
      </w:pPr>
      <w:r>
        <w:rPr>
          <w:rFonts w:ascii="Times New Roman" w:cs="Times New Roman" w:eastAsia="Times New Roman" w:hAnsi="Times New Roman"/>
          <w:sz w:val="15"/>
          <w:szCs w:val="15"/>
          <w:color w:val="008000"/>
        </w:rPr>
        <w:t>2027).</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Marina Gofman Feler,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3"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Marina Gofman Feler, Chief Legal Officer of Nano-X Imaging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tbl>
      <w:tblPr>
        <w:tblLayout w:type="fixed"/>
        <w:tblInd w:w="6580" w:type="dxa"/>
        <w:tblCellMar>
          <w:top w:w="0" w:type="dxa"/>
          <w:left w:w="0" w:type="dxa"/>
          <w:bottom w:w="0" w:type="dxa"/>
          <w:right w:w="0" w:type="dxa"/>
        </w:tblCellMar>
      </w:tblP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Gali Yahav Attias</w:t>
            </w:r>
          </w:p>
        </w:tc>
      </w:tr>
      <w:tr>
        <w:trPr>
          <w:trHeight w:val="26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0" w:type="dxa"/>
            <w:vAlign w:val="bottom"/>
          </w:tcPr>
          <w:p>
            <w:pPr>
              <w:spacing w:after="0"/>
              <w:rPr>
                <w:sz w:val="22"/>
                <w:szCs w:val="22"/>
                <w:color w:val="auto"/>
              </w:rPr>
            </w:pPr>
          </w:p>
        </w:tc>
        <w:tc>
          <w:tcPr>
            <w:tcW w:w="3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Gali Yahav Attias</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9071" TargetMode="External"/><Relationship Id="rId11" Type="http://schemas.openxmlformats.org/officeDocument/2006/relationships/hyperlink" Target="http://www.sec.gov/cgi-bin/browse-edgar?action=getcompany&amp;CIK=0001795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2026-04-09T06:33:32Z</dcterms:created>
  <dcterms:modified xsi:type="dcterms:W3CDTF">2026-04-09T06:33:32Z</dcterms:modified>
</cp:coreProperties>
</file>