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NANO-X IMAGING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SK square 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KOREA, REPUBLIC OF</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SK Square Americas,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NANO-X IMAGING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Ofer Tech Park, 94 Shlomo Shmeltzer Road, Petach Tikva, Israel 4970602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80"/>
        <w:spacing w:after="0" w:line="253" w:lineRule="auto"/>
        <w:rPr>
          <w:sz w:val="20"/>
          <w:szCs w:val="20"/>
          <w:color w:val="auto"/>
        </w:rPr>
      </w:pPr>
      <w:r>
        <w:rPr>
          <w:rFonts w:ascii="Times New Roman" w:cs="Times New Roman" w:eastAsia="Times New Roman" w:hAnsi="Times New Roman"/>
          <w:sz w:val="21"/>
          <w:szCs w:val="21"/>
          <w:color w:val="auto"/>
        </w:rPr>
        <w:t>This Schedule 13G is being filed jointly by SK square Co., Ltd. ("SK square") and SK Square Americas, Inc. ("SK Square Americas") (each, a "Reporting Person," and together, the "Reporting Persons"). This Amendment No. 1</w:t>
      </w:r>
    </w:p>
    <w:p>
      <w:pPr>
        <w:spacing w:after="0" w:line="1" w:lineRule="exact"/>
        <w:rPr>
          <w:sz w:val="20"/>
          <w:szCs w:val="20"/>
          <w:color w:val="auto"/>
        </w:rPr>
      </w:pPr>
    </w:p>
    <w:p>
      <w:pPr>
        <w:ind w:left="920" w:right="16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amends and supplements the Schedule 13G previously filed jointly by the Reporting Persons with the Securities and Exchange Commission (the "SEC") on February 14, 2022 (the "Original Schedule 13G"). This Amendment No. 1, which is being filed to disclose that the Reporting Persons have ceased to be the beneficial owners of more than five percent of the outstanding ordinary shares of NANO-X IMAGING LTD (the "Issuer"), constitutes an exit filing for the Reporting Persons. Except as specifically provided herein, this Amendment No. 1 does not modify any of the information previously reported in the Original Schedule 13G.</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jc w:val="both"/>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SK square is 65, Eulji-ro, Jung-gu, Seoul 04539, Korea. The address of the principal business office of SK Square Americas is 65 Challenger Rd, Ste 250, Ridgefield Park, NJ 07660, United States.</w:t>
      </w:r>
    </w:p>
    <w:p>
      <w:pPr>
        <w:sectPr>
          <w:pgSz w:w="11900" w:h="16838" w:orient="portrait"/>
          <w:cols w:equalWidth="0" w:num="1">
            <w:col w:w="11120"/>
          </w:cols>
          <w:pgMar w:left="360" w:top="111" w:right="4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 to row 4 of the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beneficially owned:</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See the response to row 9 of the cover page.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 to row 5 of the cover page.</w:t>
      </w:r>
    </w:p>
    <w:p>
      <w:pPr>
        <w:spacing w:after="0" w:line="287" w:lineRule="exact"/>
        <w:rPr>
          <w:sz w:val="20"/>
          <w:szCs w:val="20"/>
          <w:color w:val="auto"/>
        </w:rPr>
      </w:pPr>
    </w:p>
    <w:p>
      <w:pPr>
        <w:ind w:right="6240" w:firstLine="6"/>
        <w:spacing w:after="0" w:line="509" w:lineRule="auto"/>
        <w:tabs>
          <w:tab w:leader="none" w:pos="31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the response to row 6 of the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the response to row 7 of the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 to row 8 of the cover page.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SK square Co., Ltd.</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Joongsuk Oh</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Joongsuk Oh/Vice President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SK Square Americas, Inc.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Jin Myung Jung</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Jin Myung Jung/Chief Executive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2026-05-15T05:41:23Z</dcterms:created>
  <dcterms:modified xsi:type="dcterms:W3CDTF">2026-05-15T05:41:23Z</dcterms:modified>
</cp:coreProperties>
</file>