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840" w:hanging="217"/>
        <w:spacing w:after="0"/>
        <w:tabs>
          <w:tab w:leader="none" w:pos="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920" w:right="1120" w:hanging="2794"/>
        <w:spacing w:after="0" w:line="500" w:lineRule="auto"/>
        <w:tabs>
          <w:tab w:leader="none" w:pos="1328" w:val="left"/>
        </w:tabs>
        <w:numPr>
          <w:ilvl w:val="2"/>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199"/>
        <w:spacing w:after="0"/>
        <w:tabs>
          <w:tab w:leader="none" w:pos="11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jc w:val="center"/>
        <w:ind w:left="3740" w:right="720" w:hanging="3014"/>
        <w:spacing w:after="0" w:line="500" w:lineRule="auto"/>
        <w:tabs>
          <w:tab w:leader="none" w:pos="93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 Date of event requiring this shell company report</w:t>
      </w:r>
    </w:p>
    <w:p>
      <w:pPr>
        <w:spacing w:after="0" w:line="2" w:lineRule="exact"/>
        <w:rPr>
          <w:sz w:val="24"/>
          <w:szCs w:val="24"/>
          <w:color w:val="auto"/>
        </w:rPr>
      </w:pPr>
    </w:p>
    <w:p>
      <w:pPr>
        <w:ind w:left="39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001-39461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of Israel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 Center,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Neve Ilan, Israel 9085000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Erez Meltzer, Chief Executive Officer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+972 02 5360360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Facsimile: +972 02 544 5214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Neve Ilan, Israel 9085000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Telephone, E-mail and/or Facsimile number and Address of Company Contact Person)</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par value NIS 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NNOX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 None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 55,094,237 Ordinary Shares as of December 31, 2022</w:t>
      </w:r>
    </w:p>
    <w:p>
      <w:pPr>
        <w:spacing w:after="0" w:line="13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Note—Checking the box above will not relieve any registrant required to file reports pursuant to Section 13 or 15(d) of the Securities Exchange Act of 1934 from their obligations under those sections.</w:t>
      </w:r>
    </w:p>
    <w:p>
      <w:pPr>
        <w:spacing w:after="0" w:line="162"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877"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0"/>
          <w:szCs w:val="20"/>
          <w:color w:val="auto"/>
        </w:rPr>
      </w:pPr>
    </w:p>
    <w:p>
      <w:pPr>
        <w:sectPr>
          <w:pgSz w:w="11900" w:h="16838" w:orient="portrait"/>
          <w:cols w:equalWidth="0" w:num="4">
            <w:col w:w="2660" w:space="720"/>
            <w:col w:w="1540" w:space="720"/>
            <w:col w:w="2640" w:space="720"/>
            <w:col w:w="2240"/>
          </w:cols>
          <w:pgMar w:left="320" w:top="877" w:right="339" w:bottom="1440" w:gutter="0" w:footer="0" w:header="0"/>
          <w:type w:val="continuous"/>
        </w:sectPr>
      </w:pPr>
    </w:p>
    <w:p>
      <w:pPr>
        <w:spacing w:after="0" w:line="7"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8" w:lineRule="exact"/>
        <w:rPr>
          <w:sz w:val="20"/>
          <w:szCs w:val="20"/>
          <w:color w:val="auto"/>
        </w:rPr>
      </w:pPr>
    </w:p>
    <w:p>
      <w:pPr>
        <w:ind w:firstLine="8"/>
        <w:spacing w:after="0" w:line="282" w:lineRule="auto"/>
        <w:tabs>
          <w:tab w:leader="none" w:pos="1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8"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9"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annual report:</w:t>
      </w:r>
    </w:p>
    <w:p>
      <w:pPr>
        <w:spacing w:after="0" w:line="196" w:lineRule="exact"/>
        <w:rPr>
          <w:sz w:val="20"/>
          <w:szCs w:val="20"/>
          <w:color w:val="auto"/>
        </w:rPr>
      </w:pPr>
    </w:p>
    <w:p>
      <w:pPr>
        <w:spacing w:after="0" w:line="207" w:lineRule="exact"/>
        <w:tabs>
          <w:tab w:leader="none" w:pos="1460" w:val="left"/>
          <w:tab w:leader="none" w:pos="10600" w:val="left"/>
        </w:tabs>
        <w:rPr>
          <w:sz w:val="20"/>
          <w:szCs w:val="20"/>
          <w:color w:val="auto"/>
        </w:rPr>
      </w:pPr>
      <w:r>
        <w:rPr>
          <w:rFonts w:ascii="Times New Roman" w:cs="Times New Roman" w:eastAsia="Times New Roman" w:hAnsi="Times New Roman"/>
          <w:sz w:val="18"/>
          <w:szCs w:val="18"/>
          <w:color w:val="auto"/>
        </w:rPr>
        <w:t xml:space="preserve">U.S. GAAP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p>
    <w:p>
      <w:pPr>
        <w:spacing w:after="0" w:line="254"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225"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80" w:type="dxa"/>
            <w:vAlign w:val="bottom"/>
            <w:gridSpan w:val="12"/>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r>
      <w:tr>
        <w:trPr>
          <w:trHeight w:val="439"/>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6"/>
        </w:trPr>
        <w:tc>
          <w:tcPr>
            <w:tcW w:w="16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5"/>
        </w:trPr>
        <w:tc>
          <w:tcPr>
            <w:tcW w:w="54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960" w:type="dxa"/>
            <w:vAlign w:val="bottom"/>
            <w:tcBorders>
              <w:top w:val="single" w:sz="8" w:color="CCEEFF"/>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Identity of Directors, Senior Management and Advisors</w:t>
            </w: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28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Offer Statistics and Expected Timetable</w:t>
            </w:r>
          </w:p>
        </w:tc>
        <w:tc>
          <w:tcPr>
            <w:tcW w:w="6080" w:type="dxa"/>
            <w:vAlign w:val="bottom"/>
            <w:tcBorders>
              <w:bottom w:val="single" w:sz="8" w:color="CCEEFF"/>
            </w:tcBorders>
            <w:gridSpan w:val="12"/>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9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Key Information</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9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338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Senior Management and Employees</w:t>
            </w:r>
          </w:p>
        </w:tc>
        <w:tc>
          <w:tcPr>
            <w:tcW w:w="5580" w:type="dxa"/>
            <w:vAlign w:val="bottom"/>
            <w:tcBorders>
              <w:bottom w:val="single" w:sz="8" w:color="CCEEFF"/>
            </w:tcBorders>
            <w:gridSpan w:val="10"/>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86</w:t>
            </w:r>
          </w:p>
        </w:tc>
      </w:tr>
      <w:tr>
        <w:trPr>
          <w:trHeight w:val="176"/>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89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99</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896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103</w:t>
            </w:r>
          </w:p>
        </w:tc>
      </w:tr>
      <w:tr>
        <w:trPr>
          <w:trHeight w:val="176"/>
        </w:trPr>
        <w:tc>
          <w:tcPr>
            <w:tcW w:w="5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158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Offer and Listing</w:t>
            </w:r>
          </w:p>
        </w:tc>
        <w:tc>
          <w:tcPr>
            <w:tcW w:w="7380" w:type="dxa"/>
            <w:vAlign w:val="bottom"/>
            <w:tcBorders>
              <w:top w:val="single" w:sz="8" w:color="CCEEFF"/>
            </w:tcBorders>
            <w:gridSpan w:val="20"/>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103</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896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104</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89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Qualitative and Quantitative Disclosures About Market Risk</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118</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896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118</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6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119</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36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Defaults, Dividend Arrearages and Delinquencies</w:t>
            </w:r>
          </w:p>
        </w:tc>
        <w:tc>
          <w:tcPr>
            <w:tcW w:w="5360" w:type="dxa"/>
            <w:vAlign w:val="bottom"/>
            <w:tcBorders>
              <w:bottom w:val="single" w:sz="8" w:color="CCEEFF"/>
            </w:tcBorders>
            <w:gridSpan w:val="9"/>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119</w:t>
            </w: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89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119</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17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180" w:type="dxa"/>
            <w:vAlign w:val="bottom"/>
            <w:tcBorders>
              <w:bottom w:val="single" w:sz="8" w:color="CCEEFF"/>
            </w:tcBorders>
            <w:gridSpan w:val="16"/>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119</w:t>
            </w:r>
          </w:p>
        </w:tc>
      </w:tr>
      <w:tr>
        <w:trPr>
          <w:trHeight w:val="176"/>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89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121</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16A.</w:t>
            </w:r>
          </w:p>
        </w:tc>
        <w:tc>
          <w:tcPr>
            <w:tcW w:w="896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121</w:t>
            </w:r>
          </w:p>
        </w:tc>
      </w:tr>
      <w:tr>
        <w:trPr>
          <w:trHeight w:val="176"/>
        </w:trPr>
        <w:tc>
          <w:tcPr>
            <w:tcW w:w="5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16B.</w:t>
            </w:r>
          </w:p>
        </w:tc>
        <w:tc>
          <w:tcPr>
            <w:tcW w:w="250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Code of Ethics</w:t>
            </w:r>
          </w:p>
        </w:tc>
        <w:tc>
          <w:tcPr>
            <w:tcW w:w="6460" w:type="dxa"/>
            <w:vAlign w:val="bottom"/>
            <w:tcBorders>
              <w:top w:val="single" w:sz="8" w:color="CCEEFF"/>
            </w:tcBorders>
            <w:gridSpan w:val="14"/>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121</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16C.</w:t>
            </w:r>
          </w:p>
        </w:tc>
        <w:tc>
          <w:tcPr>
            <w:tcW w:w="896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122</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16D.</w:t>
            </w:r>
          </w:p>
        </w:tc>
        <w:tc>
          <w:tcPr>
            <w:tcW w:w="89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122</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16E.</w:t>
            </w:r>
          </w:p>
        </w:tc>
        <w:tc>
          <w:tcPr>
            <w:tcW w:w="504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Purchases of Equity Securities by the Issuer and Affiliated Purchasers</w:t>
            </w:r>
          </w:p>
        </w:tc>
        <w:tc>
          <w:tcPr>
            <w:tcW w:w="3920" w:type="dxa"/>
            <w:vAlign w:val="bottom"/>
            <w:tcBorders>
              <w:bottom w:val="single" w:sz="8" w:color="CCEEFF"/>
            </w:tcBorders>
            <w:gridSpan w:val="2"/>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122</w:t>
            </w:r>
          </w:p>
        </w:tc>
      </w:tr>
      <w:tr>
        <w:trPr>
          <w:trHeight w:val="176"/>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16F.</w:t>
            </w:r>
          </w:p>
        </w:tc>
        <w:tc>
          <w:tcPr>
            <w:tcW w:w="89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122</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16G.</w:t>
            </w:r>
          </w:p>
        </w:tc>
        <w:tc>
          <w:tcPr>
            <w:tcW w:w="896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123</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16H.</w:t>
            </w:r>
          </w:p>
        </w:tc>
        <w:tc>
          <w:tcPr>
            <w:tcW w:w="89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123</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16I.</w:t>
            </w:r>
          </w:p>
        </w:tc>
        <w:tc>
          <w:tcPr>
            <w:tcW w:w="896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123</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6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124</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17.</w:t>
            </w:r>
          </w:p>
        </w:tc>
        <w:tc>
          <w:tcPr>
            <w:tcW w:w="15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Statements</w:t>
            </w:r>
          </w:p>
        </w:tc>
        <w:tc>
          <w:tcPr>
            <w:tcW w:w="7440" w:type="dxa"/>
            <w:vAlign w:val="bottom"/>
            <w:tcBorders>
              <w:bottom w:val="single" w:sz="8" w:color="CCEEFF"/>
            </w:tcBorders>
            <w:gridSpan w:val="21"/>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124</w:t>
            </w: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18.</w:t>
            </w:r>
          </w:p>
        </w:tc>
        <w:tc>
          <w:tcPr>
            <w:tcW w:w="89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124</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19.</w:t>
            </w:r>
          </w:p>
        </w:tc>
        <w:tc>
          <w:tcPr>
            <w:tcW w:w="896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124</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NANO-X IMAGING LTD was incorporated under the laws of the State of Israel on December 20, 2018 and commenced operations on September 3, 2019. Unless the context otherwise requires, all references to “Nanox,” “we,” “us,” “our,” the “Company” and similar designations refer to NANO-X IMAGING LTD, an Israeli company, and its consolidated subsidiaries. Unless derived from our financial statements or otherwise noted, the terms “shekels” and “NIS” refer to New Israeli Shekels, the lawful currency of the State of Israel, the terms “dollar” or “$” refer to U.S. dollars, the lawful currency of the United States, “and “KRW” refers to Korean Won, the lawful currency of South Korea.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stated in or implied by these forward-looking statements.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statements that are not historical facts contained in this annual report on Form 20-F are forward-looking statements. These forward-looking statements include information about possible or assumed future results of our business, financial condition, results of operations, prospects, liquidity, plans and objectives. In some cases, you can identify forward-looking statements by terminology such as “can,” “might,” “believe,” “may,” “estimate,” “continue,” “anticipate,” “intend,” “should,” “plan,” “should,” “could,” “expect,” “predict,” “potential,” or the negative of these terms or other similar expressions.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Forward-looking statements include, but are not limited to, statements concerning:</w:t>
      </w:r>
    </w:p>
    <w:p>
      <w:pPr>
        <w:spacing w:after="0" w:line="189" w:lineRule="exact"/>
        <w:rPr>
          <w:sz w:val="20"/>
          <w:szCs w:val="20"/>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manufacturing and commercialization activities with respect to our X-ray source technology or the Nanox.ARC and the Nanox.CLOUD, which comprise the Nanox System;</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demonstrate the feasibility of our technology for commercial applications;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necessity of, timing of filing for, and receipt of, regulatory clearances or approvals regarding our technology, the Nanox.ARC and the Nanox.CLOUD;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maintain required U.S. Food and Drug Administration (the “FDA”) clearance and similar approvals from regulatory agencies worldwide, or Notified Body (“CE”), and comply with applicable quality standards and regulatory requirements;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the Nanox.ARC, following receipt of clearance from the FDA, and if cleared by the requisite regulatory authorities in other jurisdictions, at substantially lower costs compared to medical imaging systems that use a legacy analog X-ray source;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deployment schedule to meet our target minimum installed base of our first Nanox Systems and final deployment of 15,000 Nanox Systems;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structure of our products and services, if such products and services receive regulatory clearance or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integrate the business of companies that we acquire and to realize the anticipated benefits of the acquisitions, which may be affected by, among other things, competition, brand recognition, the ability of the acquired company to grow and manage growth profitably and retain its key employees;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collaborations with third-parties and their potential benefits;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maintain our arrangements with third-party manufacturers and suppliers;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conduct business globally;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when certain patents may be issued and the protection and enforcement of our intellectual property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and proprietary technology of third parties;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other jurisdictions;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technology and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relating to our competitors and the medical imaging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adoption of the Medical Screening as Service (“MSaaS”) based model by market participants;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market opportunities for our technology and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key executive managers;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data protection laws, regulations and similar rules and to establish and maintain adequate cyber-security and data protection;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third-party payor coverage or reimbursement of our Nanox System;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maintenance of our foreign private issuer status;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changes in the global, national, regional or local economic, business, competitive, market, and regulatory landscape, including as a result of the ongoing impact of the COVID-19 pandemic and the ongoing conflict in Ukraine and statements as to the impact of the political and security situation in Israel;</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incurred with respect to and the outcome of the securities class action litigation and U.S. Securities and Exchange Commission (“SEC”) inquiry we are currently subject to and any similar or other claims and litigation we may be subject to in the future;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at managing other risks and uncertainties, including those listed under “Item 3. Key Information—D. Risk Factors.”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Many important factors, in addition to the factors described above and in other sections of this annual report on Form 20-F, could adversely impact our business and financial performance. The forward-looking statements contained in this annual report on Form 20-F speak only as of the date of this annual report on Form 20-F and are subject to a number of known and unknown risks, uncertainties and assumptions, including those described under the sections in this annual report on Form 20-F entitled “Item 3. Key Information—D. Risk Factors” and “Item 5. Operating and Financial Review and Prospects” and elsewhere in this annual report on Form 20-F. 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estimates or forward-looking statements. We qualify all of our forward-looking statements by these cautionary statements. Except as required by law, we undertake no obligation to update publicly any forward-looking statements after the date of this annual report on Form 20-F to conform these statements to actual results or to changes in our expectations.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Identity of Directors, Senior Management and Advisors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Key Information</w:t>
      </w:r>
    </w:p>
    <w:p>
      <w:pPr>
        <w:spacing w:after="0" w:line="225"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660" w:right="8540" w:hanging="652"/>
        <w:spacing w:after="0" w:line="530" w:lineRule="auto"/>
        <w:tabs>
          <w:tab w:leader="none" w:pos="222"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Capitalization and Indebtedness </w:t>
      </w:r>
      <w:r>
        <w:rPr>
          <w:rFonts w:ascii="Times New Roman" w:cs="Times New Roman" w:eastAsia="Times New Roman" w:hAnsi="Times New Roman"/>
          <w:sz w:val="17"/>
          <w:szCs w:val="17"/>
          <w:color w:val="auto"/>
        </w:rPr>
        <w:t>Not applicable.</w:t>
      </w:r>
    </w:p>
    <w:p>
      <w:pPr>
        <w:ind w:left="660" w:right="7780" w:hanging="652"/>
        <w:spacing w:after="0" w:line="500" w:lineRule="auto"/>
        <w:tabs>
          <w:tab w:leader="none" w:pos="23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29" w:lineRule="exact"/>
        <w:rPr>
          <w:sz w:val="20"/>
          <w:szCs w:val="20"/>
          <w:color w:val="auto"/>
        </w:rPr>
      </w:pPr>
    </w:p>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development-stage company with limited operating history. We expect to incur significant additional losses in the future and may never be able to effectuate our business plan or achieve significant revenues or reach profitability. Therefore, at this stage of our business, potential investors have a high probability of losing their entire investment.</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may never demonstrate the feasibility of our digital X-ray source technology, including both the micro-electro-mechanical systems (“MEMs”) X-ray chips and tubes, for commercial applications.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of our business models depend on the successful commercial application of the Nanox.CLOUD, which is subject to numerous risks and uncertainties.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successful development, marketing and sale of our X-ray source technology and the related products and services.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utilizing our technology may need to be approved or cleared by the FDA and similar regulatory agencies worldwide. We may not receive, or may be delayed in receiving, the necessary approval or clearance for our future products, which would adversely affect business, financial condition, results of operations and prospects.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obtain additional financing to fund our future operations. If we are unable to obtain such financing, we may be unable to complete the development and commercialization of our technology and our products and services.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primary business model, the Subscription Model, is subject to numerous risks and uncertainties.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tailoring our X-ray source to the specific systems of other medical imaging companies under our Licensing Model, and/or entering into licensing agreements on terms favorable to us.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license our X-ray source technology to other medical imaging companies, the products integrating our technology may need to be approved or cleared by the FDA or similar regulatory agencies.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acquisitions of Nanox AI (formerly known as Zebra), USARAD and the assets of MDWEB. Our failure to successfully, and in a timely manner, integrate the acquired businesses and assets or any future acquisition and/or new lines of businesses could have an adverse effect on our business, financial condition,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ind w:left="324" w:right="20" w:hanging="324"/>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epidemic or outbreak of an infectious disease, such as COVID-19, may materially and adversely affect our business and our financial results and could cause a disruption to the development or deployment of the Nanox System.</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 and is subject to technological change, which may result in new products or solutions that are superior to our technology or other future products we may bring to market from time to time. If we are unable to anticipate or keep pace with changes in the marketplace and the direction of technological innovation and customer demands, our technology may become less useful or obsolete and our operating results will suffer.</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depend on third parties to manufacture the Nanox.ARC and to supply certain component parts. Our reliance on third-party manufacturers and suppliers involves certain risks that may result in, among others, increased costs, quality or compliance issues, or failure to timely manufacture the Nanox.ARC, any of which could materially harm our business.</w:t>
      </w:r>
    </w:p>
    <w:p>
      <w:pPr>
        <w:spacing w:after="0" w:line="17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development or manufacturing problems and higher costs, or delays that could limit our revenue, if any, or increase our losses.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execute our business models.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If we successfully commercially launch the Nanox System, and it does not achieve widespread market acceptance, we will not be able to generate the revenue necessary to support our business.</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do business globally, including in certain countries where we might have limited resources and would be subject to additional regulatory burdens and other risks and uncertainties.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Nanox System is still in the development stage, it is not yet approved for third-party payor coverage or reimbursement. If in the future we are approved for and are otherwise able to commercialize it, but are unable to obtain adequate reimbursement or insurance coverage from third-party payors, we may not be able to generate significant revenue, in which case we may need to obtain additional financing.</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changes in the United States related to payment policies for imaging procedures could have a negative impact on the utilization of our imaging services.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 complexities associated with obtaining payment or reimbursement may negatively affect our revenue, cash flow and profitability.</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collaborative and MSaaS arrangements that we have established or may establish in the future may not be successful or we may otherwise not realize the anticipated benefits from these collaborations. We do not control third parties with whom we have or may have collaborative or MSaaS arrangements, and we will rely on them to achieve results which may be significant to us. In addition, any current or future collaborative and MSaaS arrangements may place the development and commercialization of our technology outside our control, may require us to relinquish important rights or may otherwise be on terms unfavorable to us.</w:t>
      </w:r>
    </w:p>
    <w:p>
      <w:pPr>
        <w:spacing w:after="0" w:line="183"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become subject to product liability claims, product recalls, warranty claims and professional malpractice liability claims that could be expensive, divert management’s attention and harm our business reputation and financial results.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key members of our executive management team. Our inability to retain these individuals could impede our business plan and growth strategies, which could have a negative impact on our business and the value of your investment.</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mishandling or the perceived mishandling of sensitive information, or the occurrence of data security breaches, could harm our business.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would suffer in the event of computer system failures, cyber-attacks or deficiencies in our cyber-security.</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our teleradiology services and AI solutions, as well as the other imaging offerings that we are developing will depend in large part on referrals from physicians.</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7" w:name="page8"/>
    <w:bookmarkEnd w:id="7"/>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a significant number of our radiologists, our revenue from our teleradiology services and financial results could be adversely affected.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between the U.S. dollar, the New Israeli Shekel and the KRW and inflation may negatively affect our results of operations, and we may not be able to hedge our currency exchange risks successfully.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subject to securities class action litigation and are currently subject to an SEC inquiry and may be subject to similar or other claims, litigation, inquiries and investigations in the future, all of which will require significant management attention, could result in significant legal expenses and may result in unfavorable outcomes, all or any of which could have a material adverse impact on our financial condition and results of operations, harm our reputation or otherwise negatively impact our business.</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significant tariffs or other restrictions related to “trade wars” are placed on Chinese imports or any related counter-measures are taken by China, our revenue and results of operations may be materially harmed.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impacted by changes in general economic conditions.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may be materially adversely affected by any negative impact on the global economy and capital markets resulting from the conflict in Ukraine or any other geopolitical tensions.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expect to carry any business interruption insurance or any other insurance (except for director and officer, property, product liability, malpractice and clinical trials insurance). As a result, we may incur uninsured losses, increasing the possibility that you would lose your entire investment in our company.</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directors and/or officers may have interests that compete with ours.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limited experience managing a public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9" w:lineRule="exact"/>
        <w:rPr>
          <w:sz w:val="20"/>
          <w:szCs w:val="20"/>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intellectual property and our proprietary technologies, and we may not be able to ensure their protection.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competitive position on our future products for an adequate amount of time.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that our technology or our future products or the sale or use of our future products infringe the patents or other intellectual property rights of third parties could result in costly litigation or could require substantial time and money to resolve, even if litigation is avoided.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protection depends on compliance with various procedural, document submission, fee payment and other requirements imposed by governmental patent agencies, and our patent protection could be reduced or eliminated if we or our future licensors do not comply with these requirements.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that our employees, consultants or advisers have wrongfully used or disclosed alleged trade secrets of their former employers or claims asserting ownership of what we regard as our own intellectual property.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trademarks and trade names are not adequately protected, then we may not be able to build name recognition in our markets of interest and our business may be adversely affected.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our products may be subject to the terms and conditions of licenses and sublicenses granted to us by third parties.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certain milestones and royalties and fulfill other obligations under our license agreements with third-party licensors.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choose to license our technology to third parties, this could result in disputes or otherwise limit our future operations.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9" w:lineRule="exact"/>
        <w:rPr>
          <w:sz w:val="20"/>
          <w:szCs w:val="20"/>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and operations are subject to extensive government regulation and oversight both in the United States and abroad, and our failure to comply with applicable requirements could harm our business.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receive, or may be delayed in receiving, the necessary clearances or approvals for our future products, and failure to timely obtain necessary clearances or approvals for our future products would adversely affect our ability to grow our business.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post-marketing regulatory requirements could subject us to enforcement actions, including substantial penalties, and might require us to recall or withdraw a product from the market.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must be manufactured in accordance with federal, state and foreign regulations, and we could be forced to recall our devices or terminate production if we fail to comply with these regulations.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79"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customers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relating to data protection, or any actual or perceived failure by us to comply with such laws and regulations or our privacy policies, could materially and adversely affect our business or could lead to government enforcement actions and significant penalties against us, and adversely impact our operating results.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obtain and maintain international regulatory registrations, clearances or approvals for our products, we will be unable to market and sell our products outside of the United States.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reforms in the United States or the EU may make it more difficult and costly for us to obtain regulatory clearances or approvals for our products or to manufacture, market or distribute our products after clearance or approval is obtained.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reform laws could adversely affect our products and financial condition.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w:t>
      </w:r>
    </w:p>
    <w:p>
      <w:pPr>
        <w:spacing w:after="0" w:line="229" w:lineRule="exact"/>
        <w:rPr>
          <w:sz w:val="20"/>
          <w:szCs w:val="20"/>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applicable employment laws, we may not be able to enforce covenants not to compete and therefore may be unable to prevent our competitors from benefiting from the expertise of some of our former employees.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attract and retain the highly skilled employees we need to support our planned growth.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Ordinary Shares</w:t>
      </w:r>
    </w:p>
    <w:p>
      <w:pPr>
        <w:spacing w:after="0" w:line="229"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price may be volatile, and you may lose all or part of your investment.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we are exempt from certain requirements that apply to domestic issuers and we are permitted to follow certain home country corporate governance practices instead of applicable SEC and Nasdaq requirements, which may result in less protection than is accorded to shareholders under rules applicable to domestic issuers.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which would then require us to comply with the Exchange Act’s domestic reporting regime and cause us to incur significant legal, accounting and other expenses.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paid dividends in the past and have no immediate plans to pay dividends.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increased costs as a result of operating as a public company that reports to the SEC and our management may be required to devote substantial time to meet compliance obligations.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eligible for future sale may adversely affect the market for our ordinary shares and the issuance of additional ordinary shares as a result of the exercise of our outstanding warrants and options will dilute the percentage ownership of our other shareholders.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ordinary shares may not reflect our actual value.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conducted an evaluation of the effectiveness of our internal control over financial reporting and concluded that our internal control over financial reporting was not effective as of December 31, 2022. 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ordinary shares.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likely that we will be classified as a passive foreign investment company (“PFIC”) for U.S. federal income tax purposes for our taxable year ended December 31, 2022, and possibly for the current taxable year and future taxable years, which could result in adverse U.S. federal income tax consequences to U.S. Holders of our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in Israel</w:t>
      </w:r>
    </w:p>
    <w:p>
      <w:pPr>
        <w:spacing w:after="0" w:line="229"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Israel could materially and adversely affect our business.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reduction of tax and other incentives that the Israeli government provides to Israeli companies may increase our costs and taxes.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to enforce a U.S. judgment against us, our officers and directors named in this annual report on Form 20-F in Israel or the United States, or to assert U.S. securities laws claims in Israel or serve process on our officers and directors.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rights and responsibilities as our shareholder will be governed by Israeli law, which may differ in some respects from the rights and responsibilities of shareholders of U.S. corporations.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articles of association contains exclusive forum provisions for certain claims, which could limit our shareholders’ ability to obtain a favorable judicial forum for disputes with us or our directors, officers or employees.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amended and restated articles of association and Israeli law and tax considerations may delay, prevent or make difficult an acquisition of us, which could prevent a change of control and negatively affect the price of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development-stage company with limited operating history. We expect to incur significant additional losses in the future and may never be able to effectuate our business plan or achieve significant revenue or reach profitability. Therefore, at this stage of our business, potential investors have a high probability of losing their entire investment.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development-stage company, and are subject to all of the risks inherent in the establishment of a new business enterprise. While we began to generate revenue in the year ended December 31, 2021 through the sale of teleradiology services and the sale of AI solutions, following the completion of the acquisitions of Nano-X AI Ltd (“Nanox AI”) (formerly known as Zebra Medical Vision Ltd. (“Zebra”)), USARAD Holdings, Inc., a Delaware corporation (“USARAD”) and the assets of MDWEB, LLC (“MDWEB”) in November 2021, we have a limited operating history and an unproven business plan upon which investors may evaluate our prospects. We have not yet demonstrated the feasibility of our digital X-ray source technology, including both the MEMs X-ray chips and tubes, for commercial applications. Although we have produced several Nanox.ARC units (including the Nanox.CLOUD) for purposes of collecting clinical sample images, obtaining regulatory approvals and demonstrations and training, we have not yet commercialized the Nanox System. We engaged Dagesh P.K. Ltd. (“Dagesh”) to manufacture these first Nanox.ARC units in Israel on a purchase order basis, and we expect such Nanox.ARC units will be used for the initial global deployment, among other purposes. Even if we are able to manufacture the Nanox.ARC, we may not be able to do so at the low costs needed to support our business models, including the Subscription Model, which is our primary business model. We may not receive, or may be delayed in receiving, the necessary approval or clearance for the Nanox.ARC or our future products. We also have not entered into any commercial arrangement for the licensing of our X-ray source under the Licensing Model.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even if our technology becomes commercially viable, our business models may not generate sufficient revenue necessary to support our business. We may never achieve any of these thresholds for units deployed in the near-to-mid-term at any level or at all, which may cause our business to fail. The Subscription Model is based on selling the Nanox System at low cost or no cost using a pay-per-scan pricing structure, which is pioneering for medical imaging companies and is subject to numerous risks. The medical imaging industry is also highly competitive and our technology, products, services or business models may not achieve widespread market acceptance. If we are unable to address any issues mentioned above, or encounter other problems, expenses, difficulties, complications, and delays in connection with the starting and expansion of our business, our entire business may fail, in which case you may lose your entire investment.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 history of net losses and negative cash flow from operations since inception and we expect such losses and negative cash flows from operations to continue in the foreseeable future. As of December 31, 2022 and 2021, we had working capital of approximately $57.4 million and $42.1 million, respectively, and shareholders’ equity of approximately $216.7 million and $292.1 million, respectively. For the years ended December 31, 2022, 2021 and 2020, we incurred net losses of approximately $113.2 million, $61.8 million and $43.8 million, respectively. As of December 31, 2022 and 2021, we had an accumulated deficit of approximately $259.5 million and $146.2 million, respectively, and negative cash flow from operations of $43.4 million, $38.1 million and $21.6 million for the years ended December 31, 2022, 2021 and 2020, respectively. We anticipate our losses will continue to increase from current levels because we expect to incur additional costs related to developing our business, including research and development costs, manufacturing costs, employee-related costs, costs related to acquisitions, costs of complying with government regulations, intellectual property development and prosecution costs, marketing and promotion costs, capital expenditures, general and administrative expenses (including litigation costs), and costs associated with operating as a public company.</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generate significant revenue from our operations and, ultimately, achieve profitability will depend on, among others, whether we can complete the development and commercialization of our technology, our future products and our services, including our X-ray source technology, the Nanox.ARC and the Nanox.CLOUD, whether we can manufacture the Nanox.ARC on a commercial scale in such amounts and at such costs as we anticipate, and whether we can achieve market acceptance of our products, services and business models. We may never generate significant revenue or operate on a profitable basis. Even if we achieve profitability, we may not be able to sustain it.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efforts may never demonstrate the feasibility of our digital X-ray source technology, including both the MEMs X-ray chips and tubes, for commercial applications.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developed our X-ray source technology, including both the MEMs X-ray chips and tubes, and the Nanox System, which includes the Nanox.ARC and the Nanox.CLOUD. Even though we believe our X-ray source, which we refer to as the Nanox.SOURCE, has achieved commercial applicability, our technology has not been tested over extended periods of time and therefore no meaningful data exists regarding the durability, safety and effectiveness of our X-ray source over extended periods. In addition, there is no precedent for commercialization of technology like ours. The commercial scale production and deployment of the Nanox System will require significant additional sales and marketing efforts, and we may not be able to ensure the effectiveness, accuracy, consistency and safety of the Nanox System in mass production and deployment. Any unanticipated technical or other problems and the possible insufficiency of funds and other resources needed to continue the development and commercialization of our X-ray source, the Nanox.ARC or the Nanox.CLOUD may result in delays and cause us to incur additional expenses that would increase our losses. If our X-ray source is not commercially feasible now or in the long term, our business may fail.</w:t>
      </w:r>
    </w:p>
    <w:p>
      <w:pPr>
        <w:spacing w:after="0" w:line="184"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Two of our business models depend on the successful commercial application of the Nanox.CLOUD, which is subject to numerous risks and uncertainties.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highlight w:val="white"/>
        </w:rPr>
        <w:t>In addition to the Nanox.ARC, we have also developed, and continue to improve, the Nanox.CLOUD, a companion cloud software designed to deliver MSaaS. The continued development and commercialization of the Nanox.CLOUD has a number of risks, including:</w:t>
      </w:r>
    </w:p>
    <w:p>
      <w:pPr>
        <w:spacing w:after="0" w:line="16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Nanox.CLOUD requires a considerable investment of technical, financial, and legal resources, which may not be available to us;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not be technically viable to integrate the Nanox.CLOUD with the businesses of our potential customers and collaborators, such as local operators, radiologists, cloud storage providers, medical artificial intelligence (“AI”) software providers and others;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jc w:val="both"/>
        <w:ind w:left="980" w:right="40" w:hanging="324"/>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the MSaaS model is affected by a variety of factors, including security, reliability, scalability, customization, performance, customer preference, patients’ concerns with entrusting a third party to store and manage their health data, public concerns regarding privacy and compliance with restrictive laws or regulations;</w:t>
      </w:r>
    </w:p>
    <w:p>
      <w:pPr>
        <w:spacing w:after="0" w:line="17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cloud-based service may raise concerns among our customer base, including concerns regarding changes to pricing over time, service availability, information security of a cloud-based solution and access to medical images while offline;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Nanox.CLOUD may be subject to computer system failures, infrastructure failures, cyber-attacks or other security breaches;</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improper implementation or use of the Nanox.CLOUD by third-party cloud-service providers under our Sales Model could result in customer dissatisfaction and harm our business and reputation;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software errors or flaws in the Nanox.CLOUD could harm our reputation or decrease market acceptance of the MSaaS model;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higher costs than we expected as we expand our cloud-based services.</w:t>
      </w:r>
    </w:p>
    <w:p>
      <w:pPr>
        <w:spacing w:after="0" w:line="225"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commercialize the Nanox.CLOUD, our business, financial condition, results of operations and prospects could be negatively impacted.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highly dependent on the successful manufacturing, marketing and sale of our X-ray source technology and the related products and services.</w:t>
      </w:r>
    </w:p>
    <w:p>
      <w:pPr>
        <w:spacing w:after="0" w:line="229"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8"/>
          <w:szCs w:val="18"/>
          <w:color w:val="auto"/>
        </w:rPr>
        <w:t>Our core digital X-ray source technology is the basis of our Nanox System. As a result, the success of our business plan is highly dependent on our ability to manufacture and commercialize our X-ray source technology and related products and services, and our failure to do so could cause our business to fail. Successful commercialization of medical imaging devices is a complex and uncertain process, dependent on the efforts of management, manufacturers, local operators, integrators, medical professionals, third-party payors, as well as general economic conditions, among other factors. Any factor that adversely impacts the manufacture and commercialization of our X-ray source technology or related products and services will have a negative impact on our business, financial condition, results of operations and prospects. Some potential factors include:</w:t>
      </w:r>
    </w:p>
    <w:p>
      <w:pPr>
        <w:spacing w:after="0" w:line="187" w:lineRule="exact"/>
        <w:rPr>
          <w:sz w:val="20"/>
          <w:szCs w:val="20"/>
          <w:color w:val="auto"/>
        </w:rPr>
      </w:pPr>
    </w:p>
    <w:p>
      <w:pPr>
        <w:ind w:left="980" w:right="4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by hospitals and clinics, providers of medical imaging services, medical professionals such as radiologists, third-party payors and others in the medical community;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existing medical imaging technology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maintain and expand our sales, marketing and distribution networks;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and/or maintain necessary regulatory approvals;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protect our intellectual property.</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Our inability to successfully obtain clearance or approval for and subsequently commercialize our X-ray source technology or related products and services, and/or successfully develop and commercialize additional products or any enhancements to the products which we may develop would have a material adverse effect on our business, financial condition, results of operations and prospects.</w:t>
      </w:r>
    </w:p>
    <w:p>
      <w:pPr>
        <w:spacing w:after="0" w:line="17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Products utilizing our technology may need to be approved or cleared by the FDA and similar regulatory agencies worldwide. We may not receive, or may be delayed in receiving, the necessary approval or clearance for our future products, which would adversely affect business, financial condition, results of operations and prospects.</w:t>
      </w:r>
    </w:p>
    <w:p>
      <w:pPr>
        <w:spacing w:after="0" w:line="175"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7"/>
          <w:szCs w:val="17"/>
          <w:color w:val="auto"/>
        </w:rPr>
        <w:t>We continue to implement a multi-step approach to the regulatory clearance process. As a first step, we submitted a 510(k) premarket notification to an accredited Review Organization under the FDA’s 510(k) Third Party Review Program (the “Third Party Review Program”) for a single-source version of the Nanox.ARC, known as the Nanox Cart X-Ray System. On April 1, 2021, we received clearance from the FDA to market our Nanox Cart X-Ray System. On June 17, 2021, we submitted a 510(k) premarket notification application to the FDA for the first version of our multi-source Nanox.ARC 3D digital tomosynthesis system. On August 12, 2021, we received a request for additional information from the FDA concerning the first submission of our multi-source system. On January 10, 2022, we withdrew our first submission of our multi-source system. On January 12, 2022, we submitted to the FDA a Q-submission for the second version of our multi-source Nanox.ARC 3D digital tomosynthesis system. The Q-submission program provides submitters an opportunity to have early collaboration and discussions about medical device submissions, through a request for feedback from and/or a meeting with the FDA regarding a potential or planned medical device submission. On September 26, 2022, we submitted a 510(k) premarket notification to the FDA as part of our 510(k) application process for the second version of our multi-source Nanox.ARC 3D digital tomosynthesis system (including the Nanox.CLOUD). On April 28, 2023, we received a 510(k) clearance from the FDA to market the Nanox.ARC (including the Nanox.CLOUD) as a stationary X‎-ray system‎ intended to produce tomographic images of the human musculoskeletal system adjunctive to conventional radiography, on adult patients. This device is</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intended to be used in professional healthcare facilities‎ or radiological‎ environments,‎ such as hospitals,‎ clinics, imaging centers‎ and other‎ medical practices‎ by trained radiographers, ‎radiologists and physicists.</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877" w:right="299" w:bottom="1440" w:gutter="0" w:footer="0" w:header="0"/>
        </w:sectPr>
      </w:pPr>
    </w:p>
    <w:bookmarkStart w:id="12" w:name="page13"/>
    <w:bookmarkEnd w:id="1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expect to commercialize the second version of our multi-source Nanox.ARC and the Nanox.CLOUD as the Nanox System. We may need to seek approval from foreign regulatory authorities. We believe the digital X-ray source falls within a category of radiology vacuum tubes converting electrical input power into X-rays that utilize the same energy levels, radiation types and throughputs as already existing and approved X-ray tubes applied in a wide range of radiology medical procedures. As a result, we expect that there will be no novel claim or methodology related to the X-ray radiation produced by the digital X-ray source; however, regulatory agencies may not agree. To date, we have not had any discussion with the FDA or other regulatory authorities regarding the regulatory pathways for the novel digital X-ray source. Although we have received FDA clearance for the Nanox.ARC, efforts to achieve additional governmental clearances and approvals could be costly and time consuming, and we may not be able to obtain any such required clearances or approvals in accordance with our anticipated timeline or in a cost-efficient manner. Any delay or failure to obtain necessary regulatory clearances or approvals could have a material negative impact on our ability to generate revenues. Even if the products containing our technology receive the required regulatory clearance or approval, such products will remain subject to extensive regulatory requirements. If we fail to comply with the regulatory requirements of the FDA and other applicable U.S. and foreign regulatory authorities, or previously unknown problems with any approved commercial products, manufacturers or manufacturing processes are discovered, we could be subject to administrative or judicially imposed sanctions.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cost of compliance with new laws or regulations governing our technology or future products could adversely affect our business, financial condition, results of operations and prospects. New laws or regulations may impose restrictions or obligations on us that could force us to redesign our technology or other future products or services, and may impose restrictions that are not possible or practicable to comply with, which could cause our business to fail. See “—Risks Related to Government Regulation.”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obtain additional financing to fund our future operations. If we are unable to obtain such financing, we may be unable to complete the development and commercialization of our technology and our products and services.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Our net losses were $113.2 million, $61.8 million and $43.8 million for the years ended December 31, 2022, 2021 and 2020, respectively. In addition, significant resources were invested in the development of our X-ray source technology prior to us acquiring the technology. We anticipate that our future cash requirements will continue to be significant. While we began to generate revenue in the year ended December 31, 2021 and continued to generate revenue in the year ended December 31, 2022, we expect that we will need to obtain additional financing to implement our business plan as described in this annual report on Form 20-F. Specifically, although we believe our cash on hand is sufficient to complete the manufacture, shipping, installation and deployment of a significant number of Nanox System units, as well as to support the ongoing development of the Nanox.ARC and the Nanox.CLOUD, we may need to raise additional funds for such purposes. Such financings could include equity financing, which may be dilutive to shareholders, or debt financing, which would likely restrict our ability to borrow from other sources. In addition, such securities may contain rights, preferences or privileges senior to those of the rights of our current shareholders. Further, inflation and rising interest rates across the global economy have resulted in, and may continue to result in, significant disruption of global financial markets, which may reduce our ability to access capital and may result in increased financing costs. Additional funds may not be available when we need them, on terms attractive to us, or at all. If adequate funds are not available on a timely basis, we may be required to curtail the development of our technology, products or services, or materially delay, curtail, reduce or terminate our research and development and commercialization activities. We could be forced to sell or dispose of our rights or assets. Any inability to raise adequate funds on commercially reasonable terms could have a material adverse effect on our business, financial condition, results of operation and prospects, including the possibility that a lack of funds could cause our business to fail and liquidate with little or no return to investors.</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in a capital intensive, high-cost industry that requires significant amounts of capital to fund operations. We incur capital expenditures to, among other things, manufacture and commercially deploy our Nanox Systems. To the extent we are unable to generate sufficient cash from our operations or we are unable to structure or obtain financing, we may be unable to meet our capital expenditure requirements to support the maintenance and continued growth of our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primary business model, the Subscription Model, is subject to numerous risks and uncertainties.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the Subscription Model to be our primary business model and the key to achieving our vision of increasing early-detection of medical conditions that are discoverable by X-ray. Even if we are able to successfully implement our Sales Model and/or our Licensing Model, the sustainability of our general business plan depends substantially on the sustainability of our Subscription Model. The success of our Subscription Model will also depend on each device, once deployed, performing a sufficient number of scans per day to be fully utilized. We may not be successful in achieving these goals for various reasons, including:</w:t>
      </w:r>
    </w:p>
    <w:p>
      <w:pPr>
        <w:spacing w:after="0" w:line="116" w:lineRule="exact"/>
        <w:rPr>
          <w:sz w:val="20"/>
          <w:szCs w:val="20"/>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of manufacturing and deploying the Nanox System is a complex, multi-step process that depends on factors outside our control, and could cause us to expend significant time and resources prior to earning associated revenues;</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cost of the Nanox.ARC may be higher than we expect, may increase significantly, or may increase at a higher rate than anticipated, and we may not be able to set or timely adjust our pay-per-scan pricing to compensate for any increased costs;</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the Nanox.ARC may take longer than we expected, and we may have insufficient manufacturing capacity and experience delays in the manufacturing and deployment of the Nanox System, which would have a negative impact on the timing of our revenues;</w:t>
      </w:r>
    </w:p>
    <w:p>
      <w:pPr>
        <w:spacing w:after="0" w:line="10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and full utilization of the Nanox System may not be achieved or may take substantially longer than we expect, and we may not be able to deploy a sufficient number of units of the Nanox System to support our business or to effectively stimulate market interest;</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Nanox System may perform fewer scans per day than our estimates due to a number of factors, including low market acceptance rate, technical failures and downtime, service disruptions, outages or other performance problems, which would have a negative impact on our revenues and our ability to recover costs;</w:t>
      </w:r>
    </w:p>
    <w:p>
      <w:pPr>
        <w:spacing w:after="0" w:line="10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integration and testing of the Nanox.CLOUD with our potential customers and collaborators can be complex, time-consuming and expensive for them, which may have a negative impact on the timing of our revenues;</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unwillingness of potential customers to invest in the required safety infrastructure, including customary X-ray shielding, to allow the Nanox.ARC to be safety operated;</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Subscription Model, we will be responsible for maintenance of the Nanox System units we deploy, which may be more costly and time-consuming than we expect;</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not be able to find or retain a sufficient number of radiologists to review the images generated by the Nanox System, especially as we deploy additional Nanox Systems and the volume of scans increases;</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our pay-per-scan pricing allocated to our collaborators may not be acceptable to them, either now or in the future, and pricing negotiations with such collaborators may be a complex and time-consuming process;</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insurance coverage and the level of reimbursement for the Nanox.ARC provided by third-party payors may not be sufficient for our customers;</w:t>
      </w:r>
    </w:p>
    <w:p>
      <w:pPr>
        <w:spacing w:after="0" w:line="94"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pay-per-scan pricing may not be sufficient to recover our costs and may not be adjusted in a timely manner, which could negatively affect our revenues or cause our revenues and results of operations to vary significantly from period to period;</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maintaining our target price per scan because we do not control the price charged by local operators and higher prices may adversely affect market acceptance of the Nanox System; and</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challenge our Subscription Model altogether, and impose significant civil, criminal, and administrative penalties, damages, fines, and/or exclusion from government funded healthcare programs, which could adversely affect our revenues and results of operations.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 above factors may negatively affect the implementation of our Subscription Model, or cause our Subscription Model to fail.</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tailoring our X-ray source to the specific systems of other medical imaging companies under our Licensing Model, and/or entering into licensing agreements on terms favorable to us.</w:t>
      </w:r>
    </w:p>
    <w:p>
      <w:pPr>
        <w:spacing w:after="0" w:line="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our proposed Licensing Model, we expect to be engaged to tailor our X-ray source to other medical imaging companies’ or manufacturers’ of other X-ray devices specific systems to replace the legacy X-ray source or to license our X-ray source technology to them to develop new types of imaging systems, and we expect to receive a one-time, non-recurring licensing fee upfront, as well as recurring royalty payments for each imaging system sold by such companies. We expect customization to be a complex and multi-step process that varies for each project, which will require significant research and testing activities. We may also not be able to demonstrate the feasibility, functionality or safety of our technology in other medical imaging systems, meet the potential licensees’ design and manufacturing requirements, or satisfy their marketing and product needs. In addition, we may not be successful in entering into licensing agreements with favorable terms as a result of a numbers of factors, many of which are outside of our control, including willingness of, and the resources available to, other medical imaging companies to in-license our novel X-ray source technology, our ability to agree with a potential partner on the value of our technology, or on the related terms, as well as the availability of other technologies at lower cost or other alternative technologies at the time. We have not entered into any licensing agreements to date. Any of the above factors may negatively affect the implementation of our Licensing Model, or cause our Licensing Model to fail.</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we license our X-ray source technology to other medical imaging companies, the products integrating our technology may need to be approved or cleared by the FDA or similar regulatory agencies.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FDA or similar regulatory agencies may require products developed by other medical imaging companies under the Licensing Model to go through lengthier or more rigorous processes than we expected. These products may also be subject to regulations by governmental agencies in other jurisdictions, or regulation by other federal, state and local agencies. In addition, we may not have control with respect to any such further regulatory approval strategies or process. If such products do not receive, or are delayed in receiving, the necessary clearances or approvals, or if the performance of one or more clinical trials are required in connection with such clearances or approvals, the prospects of our Licensing Model may be materially affected, which could have a material adverse impact on our business and our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operational and financial risks in connection with acquisitions.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2021, we completed the acquisitions of Nanox AI (formerly known as Zebra), a deep-learning machine analytics company, USARAD, a leading provider of teleradiology services, and the assets of MDWEB, a decentralized marketplace connecting imaging facilities with radiologists. We integrated the operations of these acquired businesses and began to generate revenue in the year ended December 31, 2021 through the sale of teleradiology services and AI solutions, following the completion of these acquisitions. However, we may never realize the expected synergies, business opportunities and growth prospects in connection with any future acquisitions and/or joint ventures. We may not be able to capitalize on the expected business opportunities, assumptions underlying estimates of expected cost savings may be inaccurate or general industry and business conditions may deteriorate. In addition, integrating operations may require significant efforts and expense on our part. Personnel may leave or be terminated because of an acquisition. Our management may have its attention diverted while trying to integrate an acquisition. If these factors limit our ability to integrate the operations of any future acquisition successfully or on a timely basis, our expectations of future results of operations, including certain cost savings and synergies as a result of these or any future acquisition, may not be met. The failure to successfully manage these risks in the implementation of any future acquisition and any new lines of business could have a material, adverse effect on our business, financial condition and results of operations.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industry is highly competitive and is subject to technological change, which may result in new products or solutions that are superior to our technology or other future products we may bring to market from time to time. If we are unable to anticipate or keep pace with changes in the marketplace and the direction of technological innovation and customer demands, our technology may become less useful or obsolete and our operating results will suffer.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medical imaging industry is rapidly evolving and subject to intense and increasing competition. To compete successfully and to be able to establish and maintain a competitive position in current and future technologies, we will need to demonstrate the advantages of our technology over well-established alternative solutions, products and technologies, such as computed tomography (“CT”), as well as newer methods of medical imaging and early detection. To achieve this, we will need to raise or develop financial resources, technical expertise, marketing, distribution or support capabilities and we may not be successful in doing so.</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Also, companies offering traditional medical imaging systems, such as General Electric, Siemens, Philips, Hologic, Varian, Fuji, Toshiba and Hitachi, may be better established in the market than we are, have greater corporate, financial, operational, sales and marketing resources than we do, or have more experience in research and development than we have. In particular, the field emission technology has been used by a wide range of leading market players in an attempt to create an alternative digital source of X-ray, the most well-known attempt being the use of carbon nano tubes as the base materials for a potential field emission-based solution. In addition, early-detection technologies developed by other companies, such as blood testing and DNA screening, may also reduce the attractiveness of our technology for early detection or render it obsolete. Successful developments of these or other technologies by competitors resulting in new approaches for medical imaging, including technologies, products or services that are more effective or commercially attractive, could make our technology less useful or obsolete. We may also face opposition from certain industry leaders, who may have political influence and the ability to delay deployment of the Nanox System in certain geographical areas.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as the market expands, we expect the entry of additional competitors, such as cloud computing companies or leading IT companies, who may have longer operating histories, more extensive international operations, greater name recognition, and/or substantially greater technical, marketing and financial resources.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Our competitive position also depends on our ability to:</w:t>
      </w:r>
    </w:p>
    <w:p>
      <w:pPr>
        <w:spacing w:after="0" w:line="22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widespread awareness, acceptance and adoption of our technology and future products or services;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or enhanced technologies or features that improve the convenience, efficiency, safety or perceived safety, and productivity of our technology and future products or services;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customer needs and deliver new products or services or product enhancements to address those needs;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time required for development until commercial production;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timing and cost of regulatory approvals;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qualified personnel and collaborators;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inventions with patents or otherwise develop proprietary products and processes;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sufficient capital resources to expand both our continued research and development, and sales and marketing efforts.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our AI imaging solutions, there are a number of companies that currently offer AI radiology solutions, such as Aidoc and VIZ.AI, which, to our knowledge, focus on life threatening and urgent cases. In addition, legacy healthcare technology companies are expected in the future to increase development efforts in the field of AI imaging solutions. For example, Siemens Healthineers has developed AI-Rad Companion, which provides automatic post-processing of imaging datasets through AI-powered algorithms for Siemens CTs. The AI medical imaging market is new and competition from new market players may develop in the next few years.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our teleradiology services, the teleradiology market is highly competitive, rapidly evolving and fragmented, and is subject to changing technology and market dynamics. The market has recently experienced and is expected to continue to experience competitive pricing pressure and radiologist compensation pressure. We compete directly with both large and small-scale service providers who offer local, regional and national coverage operations. We believe that our principal competitors are Envision Physician Services and Radiology Partners. We compete to attract and retain relationships with customers and radiologists in different ways.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our technology is not, or our future products or services are not, competitive based on these or other factors, our business would be harmed.</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depend on third parties to manufacture the Nanox.ARC and to supply certain component parts. Our reliance on third-party manufacturers and suppliers involves certain risks that may result in, among others, increased costs, quality or compliance issues, or failure to timely manufacture the Nanox.ARC, any of which could materially harm our business.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plan to engage third-party manufacturers and suppliers for the commercial production of our digital X-ray tubes for use in the Nanox.ARC, following receipt of clearance from the FDA, and if cleared or approved by similar regulatory authorities in other jurisdictions, based on, among other things, cost effectiveness. We are currently developing both ceramic and glass-based digital X-ray tubes for use in the Nanox.ARC. We are working with third parties as well as producing digital ceramic tubes at our Korean facility, which is currently our primary manufacturer and supplier for our digital ceramic tubes.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2020, we entered into a three-year contract manufacturing agreement with FoxSemicon Integrated Technology, Inc., a subsidiary of Foxconn (“FITI”) to manufacture the multi-source Nanox.ARC. Under the contract manufacturing agreement with FITI, FITI will negotiate and contract with other parties for the supply of the various other components of the Nanox.ARC in accordance with the pre-approved supplier list and on the terms to be agreed upon by both parties.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However, due, in part, to travel restrictions as a result of the COVID-19 pandemic, we engaged Dagesh to manufacture Nanox.ARC units (including the Nanox.CLOUD) in Israel on a purchase order basis that are being used for purposes of collecting clinical sample images, obtaining regulatory approvals and demonstrations and training, and we expect such Nanox.ARC units will be used for the initial global deployment, among other purposes. We have not entered into a formal agreement with Dagesh to date and we may not be able to enforce the obligations under such arrangements. As we further expand our business in connection with the commercialization of our technology, we expect to seek to engage several manufacturers of the Nanox.ARC. If any of our manufacturers or suppliers breach their agreements, are unable to meet their contractual or quality requirements, or become unwilling to perform for any reason, we may be unable, or may be unable in a timely manner, to locate alternative acceptable manufacturers or suppliers and enter into favorable agreements with them.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Our dependence on third-party manufacturers and suppliers involves a number of risks, including:</w:t>
      </w:r>
    </w:p>
    <w:p>
      <w:pPr>
        <w:spacing w:after="0" w:line="225"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capacity or delays in meeting our demand;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manufacturing yields, inferior quality and excessive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products that meet the agreed upon specifications;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 adequate supply of materials;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comply with the relevant regulatory requirements for the manufacturing process;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warranties on products supplied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failure to comply with our contractual obligations;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prices;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potential misappropriation of our intellectual property.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commenced the manufacture of the MEMs X-ray chips at our fabrication facility in Korea, which is expected to meet our currently anticipated needs. However, we may not be successful in mass production of the MEMs X-ray chips at the facility or have sufficient capacity to manufacture the MEMs X-ray chips as our business expands. In addition, we rely on third parties to supply the raw materials and certain component parts. Disruptions of our relationships with such suppliers could negatively impact our production for an extended period of time. Any inability to acquire sufficient quantities of any raw materials or components in a timely manner from these third-party suppliers could have a material negative impact on our business. We may need to enhance or redesign our MEMs X-ray chip to generate licensing revenue from it or for it to be functional for certain medical imaging applications.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if we change the manufacturer of a critical component of our products, we will be required to verify that the new manufacturer maintains facilities, procedures and operations that comply with our quality and applicable regulatory requirements, which could further impede our ability to manufacture our products in a timely manner.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Transitioning to a new supplier could be time-consuming and expensive, may result in interruptions in our operations and product delivery, could affect the performance specifications of our products or could require that we modify the design of those systems. If the change in manufacturer results in a significant change to any product, a new 510(k) clearance or approval from the FDA or similar international regulatory authorization may be necessary before we implement the change, which could cause substantial delays. The occurrence of any of these events could harm our ability to meet the demand for our products in a timely or cost-effective manner. See “—Risks Related to Government Regulation.”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development or manufacturing problems and higher costs, or delays that could limit our revenue, if any, or increase our losses.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Developing manufacturing procedures for new products requires developing specific production processes for those products. Developing such processes could be time consuming, and any unexpected difficulty in doing so can delay the deployment of the Nanox System. Moreover, difficulties associated with adapting our technology and product design to the proprietary process technology and design rules of outside manufacturers can lead to reduced yields. Since low yields may result from either design or process technology failures, yield problems may not be effectively determined or resolved until an actual product exists that can be analyzed and tested to identify process sensitivities relating to the design rules that are used. As a result, yield problems may not be identified until well into the production process, and resolution of yield problems may require cooperation between our manufacturers and us. This risk could be compounded by the offshore location of certain of our manufacturers, increasing the effort and time required to identify, communicate and resolve manufacturing yield problems. Manufacturing defects that we do not discover during the manufacturing or testing process may lead to costly product recalls. These risks may lead to increased costs or delayed product delivery, which would harm our profitability and customer relationships. Furthermore, our, our manufacturers’ or our suppliers’ production processes and assembly methods may have to change to accommodate any significant, future expansion of our manufacturing capacity, which may increase the manufacturing costs, delay production of our products, reduce our product margin, require supplemental filings with the FDA or other regulatory authorities, any of which may adversely impact our business. If we are unable to keep up with demand for our products by successfully manufacturing and shipping our products in a timely manner, our revenue could be impaired, and market acceptance for our products could be adversely affected.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execute our business models.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pursuing three simultaneous business models to maximize the commercial potential of our X-ray source technology, each of which requires significant time and resources, in particular, our primary business model, the Subscription Model. We are a company with limited operating history and we may not have the necessary resources, expertise and experience to successfully execute any of our business models on a global scale, such as obtaining the necessary approvals or clearances from the regulatory agencies of our target markets. Our ability to execute our models is dependent on a number of factors, including the ability of our senior management team to execute our models, our ability to engage local operators and integrators in different geographic regions, our ability to begin or maintain our pace of product development, manufacturing and commercialization, our ability to meet the changing needs of the medical imaging market, and the ability of our employees to perform at a high-level. If we are unable to execute our models, if our models do not drive the growth that we anticipate, or if our market opportunity is not as large as we have estimated, it could adversely affect our business and our prospects.</w:t>
      </w:r>
    </w:p>
    <w:p>
      <w:pPr>
        <w:spacing w:after="0" w:line="1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If we successfully commercially launch the Nanox System, and it does not achieve widespread market acceptance, we will not be able to generate the revenue necessary to support our business.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 limited operating history and while we began the marketing of our AI solutions and teleradiology services following the acquisitions in November 2021, we have limited history of marketing our X-ray source technology and the Nanox System. We may fail to generate significant interest in our X-ray source technology or the Nanox System or the imaging products using our technology, or any other product we may develop. These and other factors, including the following, may affect the rate and level of market acceptance:</w:t>
      </w:r>
    </w:p>
    <w:p>
      <w:pPr>
        <w:spacing w:after="0" w:line="180"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sales and marketing efforts of us, and our partners such as the local partners;</w:t>
      </w:r>
    </w:p>
    <w:p>
      <w:pPr>
        <w:spacing w:after="0" w:line="225"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by medical professionals and patients of the convenience, safety, efficiency and benefits of the Nanox System or products using our technology, compared to competing methods of medical imaging, such as the time and skill required to read the tomographic images produced by the Nanox.ARC and our X-ray source;</w:t>
      </w:r>
    </w:p>
    <w:p>
      <w:pPr>
        <w:spacing w:after="0" w:line="17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opposition from certain industry leaders, which may limit our ability to promote the Nanox System and to penetrate into the medical imaging market in certain geographical areas;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established medical imaging technology;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market participants to accept the MSaaS model;</w:t>
      </w:r>
    </w:p>
    <w:p>
      <w:pPr>
        <w:spacing w:after="0" w:line="22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and global economic environments, including as a result of the COVID-19 pandemic, the ongoing military conflict between Russia and Ukraine, the global response to it and any negative impact on the global economy and capital markets resulting from the conflict or any other geopolitical tensions, or inflation;</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introduction of competing products, and the sales and marketing initiatives of such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and blog coverage, social media coverage, and other publicity and public relations factors by others;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financing or other resources to successfully develop and commercialize our technology and implement our business plan;</w:t>
      </w:r>
    </w:p>
    <w:p>
      <w:pPr>
        <w:spacing w:after="0" w:line="225"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commitment and support that we receive from our partners, such as local operators, cloud storage providers and medical AI software providers, as well as medical professionals such as radiologists;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determinations and reimbursement levels of third party payors.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cleared or approved for marketing by the Notified Body (CE) or other regulatory agencies, as the Nanox.ARC (including the Nanox.CLOUD) was cleared for marketing by the FDA, depending on the approved clinical indication, the Nanox System will be competing with existing and future imaging products and similar offerings. The technology underlying our X-ray source and the Nanox System may be perceived as inferior or inaccurate and patients may be unwilling to undergo medical screening using the Nanox.ARC or other products using our technology. Moreover, patients and medical professionals may be unwilling to depart from the current medical imaging technology. Medical professionals tend to be slow to change their medical diagnostic practices because of perceived liability risks arising from the use of new technology or products, and they may not recommend medical imaging using the Nanox.ARC or other products using our technology until there is long-term clinical evidence to convince them to alter or modify their existing imaging methods. Our efforts to educate patients, radiologists and other members of the medical community on the benefits of our products require significant resources and may not be successful. Our efforts to educate the marketplace may require more resources than are required by conventional technologies marketed by our competitors. In particular, gaining market acceptance for our products in nascent markets, such as Africa, China, India, and certain countries in Latin America, could be challenging. Moreover, in the event that the Nanox System or other products using our technology are the subject of guidelines, clinical studies or scientific publications that are unfavorable or damaging, or otherwise call into question their benefits, we may have difficulty in convincing market participants to adopt our products. In addition, medical professionals, patients, providers of medical imaging services and third-party payors may not adopt or reimburse the use of the Nanox System in the near term or at all. If we are unable to achieve or maintain an adequate level of market acceptance, we may not generate significant revenue or become profitable and our business, financial condition, results of operations and prospects would be significantly harmed.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33"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do business globally, including in certain countries where we might have limited resources and would be subject to additional regulatory burdens and other risks and uncertainties.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do business globally, including in North America and certain countries in Asia, Europe, Africa, Latin America and Australia. Commercialization of our X-ray source technology, the Nanox.ARC or the Nanox System in foreign markets, either directly or through third parties, is subject to additional risks and uncertainties, including:</w:t>
      </w:r>
    </w:p>
    <w:p>
      <w:pPr>
        <w:spacing w:after="0" w:line="176"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and insurance coverage;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find agencies, dealers or distributors in specific countries or regions;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of third parties;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resources to be deployed to a specific jurisdiction;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regulatory, tax, accounting and legal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imaging practice and customs in foreign countries affecting acceptance in the marketplace;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and other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interpretations of contractual provisions governed by foreign laws in the event of a contract dispute.</w:t>
      </w:r>
    </w:p>
    <w:p>
      <w:pPr>
        <w:spacing w:after="0" w:line="225"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7"/>
          <w:szCs w:val="17"/>
          <w:color w:val="auto"/>
        </w:rPr>
        <w:t>Specifically, we are subject to the U.S. Foreign Corrupt Practices Act of 1977, as amended, the U.S. domestic bribery statute contained in 18 U.S.C. § 201, the U.S. Travel Act, the USA PATRIOT Act, the United Kingdom Bribery Act 2010, the Proceeds of Crime Act 2002, Chapter 9 (sub-chapter</w:t>
      </w:r>
    </w:p>
    <w:p>
      <w:pPr>
        <w:spacing w:after="0" w:line="1" w:lineRule="exact"/>
        <w:rPr>
          <w:sz w:val="20"/>
          <w:szCs w:val="20"/>
          <w:color w:val="auto"/>
        </w:rPr>
      </w:pPr>
    </w:p>
    <w:p>
      <w:pPr>
        <w:jc w:val="both"/>
        <w:ind w:firstLine="8"/>
        <w:spacing w:after="0" w:line="253" w:lineRule="auto"/>
        <w:tabs>
          <w:tab w:leader="none" w:pos="2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Israeli Penal Law, 1977, the Israeli Prohibition on Money Laundering Law–2000 and possibly other anti-bribery and anti-money laundering laws in countries outside of the United States in which we conduct our activities. As we engage finders to obtain MSaaS agreements in certain countries, we and our finders may have direct or indirect interactions with officials and employees of government agencies or state-owned or affiliated entities. We may be held liable for the corrupt or other illegal activities of these third-party business partners and intermediaries, our employees, representatives, contractors, partners and agents, even if we do not explicitly authorize such activities. As we expand our international business, our risks under these laws may increase.</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also may sell the Nanox System to government entities, which are subject to a number of challenges and risks. Any actual or perceived privacy, data protection, or data security incident, or even any perceived defect with regard to our practices or measures in these areas, may negatively impact public sector demand for our products. Government entities may also have statutory, contractual or other legal rights to terminate contracts with us for convenience or due to a default, and any such termination may adversely affect our future results of operations. Governments routinely investigate and audit government contractors’ administrative processes, and any unfavorable audit could result in the government refusing to continue buying our subscriptions, a reduction of revenue, or fines or civil or criminal liability if the audit uncovers improper or illegal activities. In addition, sales of the Nanox System in foreign markets could also be adversely affected by the imposition of governmental controls, political and economic instability, war, conflicts, civil unrest and other hostilities, trade restrictions and changes in tariffs, any of which may adversely affect our business, financial condition, results of operations and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we received clearance from the FDA to market the Nanox.ARC (including the Nanox.CLOUD), the device is not yet approved for third-party payor coverage or reimbursement. If in the future we are approved for and are otherwise able to commercialize it, but are unable to obtain adequate reimbursement or insurance coverage from third-party payors, we may not be able to generate significant revenue, in which case we may need to obtain additional financing.</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Although we received clearance from the FDA to market the Nanox.ARC (including the Nanox.CLOUD), the device is not yet approved for third-party payor coverage or reimbursement. Coding and coverage determinations as well as reimbursement levels and conditions are important to the commercial success of an imaging product or offering. The future availability of insurance coverage and reimbursement for newly approved medical devices is highly uncertain, and our future business will be greatly impacted by the level of reimbursement provided by third-party payors. In the United States, third-party payors decide which imaging products and services they will cover, how much they will pay and whether they will continue reimbursement. Third-party payors may not cover or provide adequate reimbursement for the Nanox System or the imaging services using the Nanox System, assuming we are able to fully develop and obtain all regulatory approvals and clearances to market it in geographies in addition to the United States. To date, we have not had any discussions with any third-party payors, including any regulatory agencies administering any government funded healthcare programs, regarding the coding, coverage or reimbursement for imaging services using the Nanox System. Accordingly, unless government and other third-party payors provide coverage and reimbursement for our services, patients and healthcare providers may choose not to use them, which would cause investors to lose their entire investment. A primary trend in the United States healthcare industry and elsewhere is cost containment. Government authorities and other third-party payors have attempted to control costs by limiting coverage and the amount of reimbursement for particular products and services. Reimbursement may not be available, or continue to be available, for the Nanox System or the imaging services using the Nanox System, other products or systems using our X-ray source technology, our AI solutions, teleradiology services, the Nanox.MARKETPLACE or any other products or services we may develop or offer in the future, or even if reimbursement is available, such reimbursement may not be adequate. We also will be subject to foreign reimbursement policies in the international markets we expect to enter. Decisions by health insurers or other third-party payors in these markets not to cover, or to discontinue reimbursing, our products could materially and adversely affect our business. If such decisions are made, they could also have a negative impact on our ability to generate revenues, in which case we may need to obtain additional financing.</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such as COVID-19, may materially and adversely affect our business and our financial results and could cause a disruption to the development or deployment of the Nanox System.</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Beginning in 2019, a novel strain of a virus named SARS-CoV-2 (severe acute respiratory syndrome coronavirus 2), or coronavirus, which causes COVID-19, spread to most countries across the world, including Israel. The COVID-19 pandemic led to the implementation of various responses, including government-imposed quarantines, travel restrictions and other public health safety measures. While we have not experienced any material adverse impact as a result of the COVID-19 pandemic to date, the extent to which the COVID-19 pandemic may in the future impact our operations or those of our third-party partners will depend on future developments, which are highly uncertain and cannot be predicted with confidence. The future spread of COVID-19 globally or the reinstatement of restrictions or other actions that may be required to contain COVID-19 or treat its impact could adversely impact our development, manufacture or deployment of the Nanox System, which could adversely affect our ability to commercialize the Nanox System, increase our operating expenses and have a material adverse effect on our financial results. Further, uncertainty around the COVID-19 pandemic and related issues could lead to adverse effects on the economy of the United States and other economies, which could impact our ability to raise the necessary capital needed to develop and commercialize the Nanox System.</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changes in the United States related to payment policies for imaging procedures could have a negative impact on the utilization of our imaging services.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United States, over the past several years, the Centers for Medicare &amp; Medicaid Services (“CMS”), the federal agency responsible for administering the Medicare program, has implemented numerous changes to payment policies for imaging procedures in both the hospital setting and non-hospital settings, which include physician offices and freestanding imaging facilities. Some of these changes have had a negative impact on utilization of imaging services. Examples of these changes include:</w:t>
      </w:r>
    </w:p>
    <w:p>
      <w:pPr>
        <w:spacing w:after="0" w:line="180" w:lineRule="exact"/>
        <w:rPr>
          <w:sz w:val="20"/>
          <w:szCs w:val="20"/>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payments for imaging services in physician offices and free-standing imaging facility settings based upon rates paid to hospital outpatient departments;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payments for certain imaging procedures when performed together with other imaging procedures in the same family of procedures on the same patient on the same day in the physician office and free-standing imaging facility setting;</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significant revisions to the methodology for determining the practice expense component of the Medicare payment applicable to the physician office and free-standing imaging facility setting which results in a reduction in payment;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revising payment policies and reducing payment amounts for imaging procedures performed in the hospital outpatient setting.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also expect increased regulation and oversight of advanced diagnostic testing. One provision in the Protecting Access to Medicare Act requires CMS to develop appropriate use criteria (“AUC”) that professionals must consult when ordering advanced diagnostic imaging services (which include magnetic resonance imaging (“MRI”), CT, nuclear medicine (including position emission tomography) and other advanced diagnostic imaging services that the Secretary of the Department of Health and Human Services (“HHS”) may specify). Under this provision, payment is to be made to the furnishing professional for an applicable advanced diagnostic imaging service only if the claim indicates that the ordering professional consulted a qualified clinical decision support mechanism, as identified by HHS, as to whether the ordered service adheres to the applicable AUC. To the extent that these types of changes have the effect of reducing the aggregate number of diagnostic medical imaging procedures performed in the United States, our business, results of operations, financial condition and cash flows would be adversely affected. In July 2022, CMS announced that the payment penalty phase for the AUC program would not begin on January 1, 2023 even if the public health emergency for COVID-19 ended in 2022 and that it was unable to forecast when the payment penalty phase would begin.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Billing complexities associated with obtaining payment or reimbursement may negatively affect our revenue, cash flow and profitability.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 for our imaging-based offerings is, and is expected to be, provided by individual patients and from a variety of payors, such as commercial insurance carriers, managed care organizations and governmental programs. Each payor typically has different billing requirements, and the billing requirements of many payors have become increasingly stringent.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Among the factors complicating our customers’ ability to bill and receive reimbursement from third-party payors are:</w:t>
      </w:r>
    </w:p>
    <w:p>
      <w:pPr>
        <w:spacing w:after="0" w:line="225"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among payors as to which party is responsible for payment;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disparity in coverage among various payors;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disparity in information and billing requirements among payors;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which is required to be provided by the ordering physician.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be required to seek new billing codes for imaging services using the Nanox System or any other imaging-based offering that we may provide, and regulatory authorities may not approve the creation of separate codes. Additionally, even if we are successful, existing or future billing codes or the payment amounts associated with such codes may change in the future.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billing complexities, and the related uncertainty in obtaining payment for our imaging-based offerings, could negatively affect our revenue, cash flow and profitability.</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Any collaborative and MSaaS arrangements that we have established or may establish in the future may not be successful or we may otherwise not realize the anticipated benefits from these collaborations. We do not control third parties with whom we have or may have collaborative or MSaaS arrangements, and we will rely on them to achieve results which may be significant to us. In addition, any current or future collaborative and MSaaS arrangements may place the development and commercialization of our technology outside our control, may require us to relinquish important rights or may otherwise be on terms unfavorable to us.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certain, and expect to enter into additional, collaborative arrangements and MSaaS agreements with respect to the research, development, manufacture and commercialization of our technology with different relevant industry participants, including, among others, local operators, integrators, radiologists, cloud storage providers and medical AI software providers and third-party payors. See “Item 4. Information on the Company—B. Business Overview—MSaaS Agreements” and “Item 4. Information on the Company—B. Business Overview—Collaboration Agreements.” Any future potential collaborative or MSaaS arrangements may require us to rely on external consultants, advisors and experts for assistance in several key functions, including research and development, manufacturing, regulatory, intellectual property, commercialization and distribution. We cannot and will not control these third parties, but we may rely on them to achieve results, which may be significant to us. Relying upon these collaborative arrangements subjects us to a number of risks, including:</w:t>
      </w:r>
    </w:p>
    <w:p>
      <w:pPr>
        <w:spacing w:after="0" w:line="192"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may devote to our technology;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 collaborator fail to comply with applicable laws, rules or regulations when performing services for us, we could be held liable for such violations;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have a shortage of qualified personnel, particularly radiologists who can review the medical images generated by the Nanox System, especially as we deploy additional Nanox Systems and the volume of scans increases;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such as marketing and distribution rights;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adversely affect a collaborator’s willingness or ability to complete its obligations under any arrangement;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default on their payments to us or fail to deliver standby letters of credit or financial guarantees, and it may be time consuming and difficult to enforce such payment obligations and obligations to provide standby letters of credit and financial guarantees in various jurisdictions, and we may be unsuccessful in enforcing such obligations;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arrangements are subject to conditionality, including receipt of regulatory clearance and material compliance with acceptance test protocol, among other things, for the Nanox.ARC;</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circumstances, a collaborator could move forward with a competing product developed either independently or in collaboration with others, including our competitors;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collaborators may utilize our proprietary information in a way that could expose us to competitive harm;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could obtain ownership or other control over intellectual property that is material to our business;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are often terminated or allowed to expire or remain unformalized by a written agreement, which could delay the ability to commercialize our technology.</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if disputes arise between us and any of our collaborators, it could result in the delay or termination of the development, manufacturing or commercialization of products containing our technology, lead to protracted and costly legal proceedings, or cause collaborators to act in their own interest, which may not be in our interest. As a result, the collaborative arrangements that we may enter into, may not achieve their intended goals.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of these scenarios materialize, they could have a material adverse effect on our business, financial condition, results of operations and prospects.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may have other future products where it is desirable or essential to enter into agreements with a collaborator who has greater financial resources or different expertise than us, but for which we are unable to find an appropriate collaborator or are unable to do so on favorable terms. If we fail to enter into such collaborative agreements on favorable terms, it could materially delay or impair our ability to develop and commercialize, and increase the costs of development and commercialization of, our technology.</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subject to product liability claims, product recalls, warranty claims and professional malpractice liability claims that could be expensive, divert management’s attention and harm our business reputation and financial results.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exposes us to potential liability risks that are inherent in the marketing and sale of products used in patient care. We may be held liable if the Nanox System or if any other product that integrates our X-ray source technology causes injury or death or is found otherwise unsuitable during usage. The Nanox System incorporates sophisticated components and computer software. Complex software can contain errors, particularly when first introduced. In addition, new products or enhancements may contain undetected errors or performance problems that, despite testing, are discovered only after installation. Patients and end-users of the Nanox System could allege or possibly prove defects of our products or other products that integrate our technology.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product liability claim, regardless of its merit or eventual outcome, could result in significant legal defense costs and divert management’s attention. Regardless of merit or eventual outcome, liability claims may result in:</w:t>
      </w:r>
    </w:p>
    <w:p>
      <w:pPr>
        <w:spacing w:after="0" w:line="162"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Nanox System;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and others;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future products.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professional liability claims, including, without limitation, for improper use or malfunction of our diagnostic imaging software.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the radiologists that provide our teleradiology services may occasionally subject us to malpractice claims. For example, a complaint was recently filed against several defendants, including one of our radiologists and USARAD, alleging that such radiologist, in his capacity as an employee of USARAD, was negligent in the interpretation of a PET/CT scan prior to our acquisition of USARAD. Additional claims, suits or complaints relating to services provided by these radiologists may be asserted against us in the future.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of these outcomes may have an adverse effect on our business, financial condition and results of operations, and may increase the volatility of our share price.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coverage limits of our insurance policies we may choose to purchase to cover related risks may not be sufficient to cover future claims. If sales of the Nanox System or other products integrating our technology increase or we suffer future product liability claims or malpractice claims, we may be unable to maintain product liability insurance or malpractice insurance at satisfactory rates or with adequate amounts or at all. A product liability claim, any product recalls or excessive warranty claims, whether arising from defects in design or manufacture or otherwise, could negatively affect our sales or require a change in the design or manufacturing process, any of which could harm our relationship with our customers and partners, and have a material adverse impact on our reputation and business, financial condition, results of operations and prospects.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if the Nanox System or other products integrating our technology are defective, we, our future customers or partners may be required to notify regulatory authorities and/or to recall the products. See “—Risks Related to Government Regulation—Our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 Any recall would divert management’s attention and financial resources and harm our reputation with customers, patients, medical professionals and third-party payors. A recall involving the Nanox System would be particularly harmful to our business. The adverse publicity resulting from any of these actions could adversely affect the perception of our customers or partners. These investigations or recalls, especially if accompanied by unfavorable publicity, could result in our incurring substantial costs, losing revenues and damaging our reputation, each of which would harm our business, financial condition, results of operations and prospects.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key members of our executive management team. Our inability to retain these individuals could impede our business plan and growth strategies, which could have a negative impact on our business and the value of your investment.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implement our business plan depends on the continued services of key members of our senior management. In particular, and to a critical extent, we are dependent on the continued efforts and services of the members of management named under “Item 6. Directors, Senior Management and Employees,” as well as the senior management of our significant subsidiaries. If we lose the services of such key members of our management team, we would likely be forced to expend significant time and money in the pursuit of replacement individuals, which may result in a delay in the implementation of our business plan and plan of operations. We may not be able to find satisfactory replacements on terms that would not be unduly expensive or burdensome to us. We do not currently carry a key-man life insurance policy that would assist us in recouping our costs in the event of the death or disability of a member of our management team. The loss of members of our management team, or our inability to attract or retain other qualified individuals, could have a material adverse effect on our business,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The mishandling or the perceived mishandling of sensitive information, or the occurrence of data security breaches, could harm our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that our business operations will enable us to accumulate a significant amount of highly sensitive and/or confidential information, including medical images and other medical and personal information. While employee contracts generally contain standard confidentiality provisions, our employees, customers or collaborators may not properly handle or process sensitive or confidential data. The improper handling of sensitive or confidential data, or even the perception of such mishandling (whether or not valid), or other security lapses by us, our customers or collaborators, could reduce demand for our offerings or otherwise expose us to financial or reputational harm or legal liability.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any security breach, including personal data breaches, or incident, including cybersecurity incidents, that we experience could result in unauthorized access to, misuse of or unauthorized acquisition of the sensitive or confidential information and data (including medical information), the loss, corruption, or alteration of this data, interruptions in our operations, or damage to our systems. Any such incidents, or any failure to make adequate or timely disclosures to the public, regulators or law enforcement agencies following any such incident, could subject us or our service providers to substantial system downtimes, operational delays, other detrimental impacts on our operations or ability to provide products and services to our customers, the compromising of confidential or otherwise protected information, including personal data, the destruction or corruption of data, other manipulation or improper use of our systems and networks, violations of applicable privacy, data collection and protection and cybersecurity laws and regulations or notification obligations, legal claims, regulatory scrutiny or enforcement actions, financial losses from remedial actions, loss of business or potential liability and/or damage to our reputation, any of which could have a material adverse effect on our business operations, cash flows, competitive position, financial condition and results of operations.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increasing number of digital platforms have disclosed breaches of their security, some of which have involved sophisticated and highly targeted attacks on portions of their services.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If an actual or perceived breach of our security occurs, public perception of the effectiveness of our security measures and brand could be harmed and our results of operations could be negatively affected. Data security breaches and other incidents may also result from non-technical means (e.g., actions by employees or contractors). Any compromise of our security could result in a violation of applicable security, privacy or data protection, consumer and other laws, regulatory or other governmental investigations, enforcement actions, and legal and financial exposure, including potential contractual liability. Any such compromise could also result in damage to our reputation and a loss of confidence in our security and privacy or data protection measures. Any of these effects could materially and adversely affect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 cyber-attacks or deficiencies in our cyber-security.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execute our business strategy depends, in part, on the continued and uninterrupted performance of our information technology systems, which support our operations. Despite the implementation of security measures, our internal computer systems, and those of third parties on which we rely, are vulnerable to damage from, among others, computer viruses, malware, natural disasters, terrorism, war, telecommunication and electrical failures, cyber-attacks or cyber-intrusions over the internet, attachments to emails, persons inside our organization, or persons with access to systems inside our organization or similar disruptive problems.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Our systems are also subject to compromise from internal threats such as improper action by employees, including phishing attacks or malicious insiders, or by vendors, counterparties and other third parties with otherwise legitimate access to our systems. Our policies, employee training, procedures and technical safeguards may not prevent all improper access to our network or proprietary or confidential information by employees, vendors, counterparties or other third parties. For example, in October 2022, we became aware that we were subject to what we believe was a phishing attack. Although the phishing attack did not have a material adverse effect on our business, a similar event in the future could have a material adverse effect on our business operations, cash flows and financial condition. If any other similar event were to occur and cause interruptions in our operations, it could result in a material disruption of our product development programs. We may not be able to anticipate data breaches, cyber-attacks or other similar incidents, detect or react to such incidents in a timely manner, implement effective preventive measures against such incidents, or adequately remediate any such incident. In addition, we cannot be certain that our insurance coverage will be adequate for cybersecurity liabilities actually incurred, that insurance will continue to be available to us on economically reasonable terms, or at all, or that our insurer will not deny coverage as to any future claim.</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such security breach may compromise information stored on our networks and may result in significant data losses or theft of personally identifiable information. A cybersecurity breach could also hurt our reputation by adversely affecting the patients’ perception of the security of their information. A number of proposed and enacted federal, state and international laws and regulations obligate companies to notify individuals of security breaches involving particular personally identifiable information, which could result from breaches experienced by us or by third parties, including collaborators, vendors, contractors or other organizations with which we expect to form strategic relationships. In addition, a cybersecurity attack could result in other negative consequences, including disruption of our internal operations, increased cyber security protection costs, lost revenue, regulatory actions or litigations.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from our teleradiology services and AI solutions, as well as the other imaging offerings that we are developing, will depend in large part on referrals from physicians.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depend on referrals of patients from unaffiliated physicians and other third parties who have no contractual obligations to refer patients to us for our teleradiology services and AI solutions, as well as the other imaging offerings that we are developing. If these physicians and other third parties do not refer patients to us, our ability to generate revenue from our teleradiology services and AI solutions, as well as the other imaging offerings that we are developing would be adversely affected. Further, we currently derive substantially all of our revenue from our teleradiology services from fees charged for the diagnostic imaging services performed by radiologists. If physicians and other third parties were to discontinue referring patients to our radiologists, our revenue from our teleradiology services would decrease and our financial results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a significant number of our radiologists, our revenue from our teleradiology services and financial results could be adversely affected.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is a shortage of qualified radiologists in some of the regional markets that we serve. In addition, competition in recruiting radiologists may make it difficult for us to maintain adequate levels of radiologists. If a significant number of radiologists terminate their relationships with us and we cannot recruit sufficient qualified radiologists, our ability to generate revenue from teleradiology services and our financial results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receive payment from some of our customers for our AI solutions as a result of financial hardship.</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contract with hospitals, imaging centers, urgent care and other facilities to provide reading services. Some of our customers for our AI solutions may not have significant financial resources, liquidity or access to capital. If these customers experience financial difficulties, they may be unable to pay us for the services that we provide. A significant deterioration in industry conditions could have a material adverse effect on the financial health of some of our customers. If our customers suffer financial hardship, they could delay or default on their payment obligations to us, negatively impacting our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Exchange rate fluctuations between the U.S. dollar, the New Israeli Shekel and the KRW and inflation may negatively affect our results of operations, and we may not be able to hedge our currency exchange risks successfully.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U.S. dollar is our functional and reporting currency. However, a portion of our operating expenses, including personnel and facilities related expenses, are incurred in NIS or KRW. As a result, we are exposed to the risks that the NIS and KRW may appreciate relative to the U.S. dollar, or, if the NIS and KRW instead devalues relative to the U.S. dollar, that the inflation rate in Israel or Korea may exceed such rate of devaluation of the NIS or KRW, or that the timing of such devaluation may lag behind inflation in Israel or Korea. In any such event, the dollar cost of our operations in Israel or Korea would increase and our dollar-denominated results of operations would be adversely affected. Given our general lack of currency hedging arrangements to protect us from fluctuations in the exchange rates of the NIS and KRW and other foreign currencies in relation to the U.S. dollar (and/or from inflation of such foreign currencies), we may be exposed to adverse effects from such movements. Our exchange rate exposure may change over time as our business evolves and could result in increased costs or reduced revenue and could affect our actual cash flow. Changes in the relative values of currencies occur regularly and, in some instances, may have a significant impact on our operating results. The rate of inflation in Israel or Korea or in currency exchange rates may materially change and we might not be able to effectively mitigate these risks.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been subject to securities class action litigation and are currently subject to an SEC inquiry and may be subject to similar or other claims, litigation and investigations in the future, all of which will require significant management attention, could result in significant legal expenses and may result in unfavorable outcomes, all or any of which could have a material adverse impact on our financial condition and results of operations, harm our reputation or otherwise negatively impact our business.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and may in the future become, subject to litigation or claims arising in or outside the ordinary course of business that could negatively affect our business operations and financial condition, including securities class actions and shareholder derivative actions, both of which are typically expensive to defend. Such claims and litigation proceedings may be brought by third parties, including our customers, competitors, advisors, service providers, partners or collaborators, employees, and governmental or regulatory bodies. For example, we currently have two securities class action complaints pending against us and certain former officers, asserting violations of federal securities laws and seeking unspecified damages. In addition, the Division of Enforcement of the SEC is conducting an investigation to determine whether there had been any violations of the federal securities laws, and the duration and outcome of this matter cannot be predicted at this time. A complaint was also recently filed against several defendants, including one of our radiologists and USARAD, alleging that such radiologist, in his capacity as an employee of USARAD, was negligent in the interpretation of a PET/CT scan prior to our acquisition of USARAD. See “Item 4. Information on the Company—B. Business Overview—Legal Proceedings.”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outcome of any litigation and SEC inquiry, regardless of its merits, is inherently uncertain and may differ substantially from our expectations. Any claims and lawsuits, and the disposition of such claims and lawsuits, or SEC inquiry could be time-consuming and expensive to resolve, divert management attention and resources, and lead to attempts on the part of other parties to pursue similar claims. We may not be able to determine the amount of any potential losses and other costs we may incur due to the inherent uncertainties of litigation and settlement negotiations. In the event we are required or decide to pay amounts in connection with any claims, lawsuits or SEC inquiry, such amounts could be significant and could have a material adverse impact on our liquidity, business, financial condition and results of operations. In addition, depending on the nature and timing of any such dispute, a resolution of a legal matter could materially affect our future operating results, our cash flows or both.</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significant tariffs or other restrictions related to “trade wars” are placed on Chinese imports or any related counter-measures are taken by China, our revenue and results of operations may be materially harmed.</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Nanox.ARC production process is expected to involve manufacturers and/or suppliers in China for the production of certain components of the Nanox.ARC. If significant tariffs or other restrictions are placed by the United States government on Chinese imports or any related counter-measures are taken by China, our business, financial condition and results of operations may be materially harmed. Throughout 2018 and 2019, former President Trump called for substantial changes to foreign trade policy with China and raised, and proposed to further raise in the future, tariffs on several Chinese goods in order to reverse what he perceived as unfair trade practices that have negatively impacted U.S. businesses. The announcement of such tariffs has triggered retaliatory actions from foreign governments, including China, and may trigger retaliatory actions by other foreign governments, resulting in a “trade war.” On January 15, 2020, the United States and China signed the Phase One Deal, which took effect on February 14, 2020, agreeing to the rollback of tariffs, expansion of trade purchases and renewed commitments on intellectual property, technology transfer and currency practices deescalating the trade war. U.S. President Biden has stated that there are no immediate plans to cancel the Phase One Deal, but the administration is expected to make changes to the U.S.-China tariff policies. If any forms of duties or tariffs are imposed on the Nanox.ARC or its components, we may be required to charge higher prices in the United States than we expect, which may result in fewer customers and harm our operating performance. Alternatively, we or our contractors may seek manufacturers and/or suppliers outside of China, resulting in significant costs and disruption to our operations and business. Our business could also be impacted by retaliatory trade measures taken by China or other countries in response to existing or future tariffs, causing us to raise prices or make changes to our operations, any of which could materially harm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impacted by changes in general economic conditions.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is subject to risks arising from changes in domestic and global economic conditions, including adverse economic conditions in markets in which we operate, which may harm our business. For example, the existence of inflation in the economy has resulted in, and may continue to result in, higher interest rates and capital costs, limited availability of credit, liquidity shortages and constrained capital spending, increased costs of labor, fluctuations in foreign currency exchange rates, challenging and delayed sales cycles, slower adoption of new technologies, increased price competition and other similar effects. A failure to adequately respond to these risks could have a material adverse impact on our financial condition, results of operations or cash flows.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our future customers significantly reduce spending in areas in which our technology and products are utilized, or prioritize other expenditures over our technology and products, our business, financial condition, results of operations and prospects would be materially adversely affected.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Disruption to the global economy could also result in a number of follow-on effects on our business, including a possible slow-down resulting from lower customer expenditures; inability of customers to pay for products, solutions or services on time, if at all; an increase in the amount of accounts receivable we are required to write off; more restrictive export regulations which could limit our potential customer base; negative impact on our liquidity, financial condition and share price, which may impact our ability to raise capital in the market, obtain financing and secure other sources of funding in the future on terms favorable to 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occurrence of catastrophic events, such as hurricanes, storms, earthquakes, tsunamis, floods, medical epidemics and other catastrophes that adversely affect the business climate in any of our markets could have a material adverse effect on our business, financial condition and results of operations. Some of our operations are located in areas that have been in the past, and may be in the future, susceptible to such occurrences.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may be materially adversely affected by adverse developments with respect to geopolitical disputes and financial institutions and associated liquidity risk.</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in part, as a result of the military conflict between Russia and Ukraine. On February 24, 2022, a full-scale military invasion of Ukraine by Russian troops was reported. Although the length and impact of the ongoing military conflict is highly unpredictable, the ongoing conflict in Ukraine has led, and could lead, to market disruptions, including significant volatility in commodity prices, credit and capital markets. As a result, sanctions and penalties have been levied by the United States, European Union and other countries against Russia. Russian military actions and the resulting sanctions could have a negative impact on supply chains, our MSaaS agreements relating to Russia and Belarus or the region and adversely affect the global economy and financial markets. Any of the abovementioned factors could affect our business, prospects, financial condition and operating results. The extent and duration of the military action, sanctions and resulting market disruptions are impossible to predict, but could be substantial. Any such disruptions may also magnify the impact of other risks described in this Annual Report on Form 20-F.</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More recently, the closures of Silicon Valley Bank (“SVB”) and Signature Bank and their placement into receivership with the Federal Deposit Insurance Corporation (“FDIC”) created bank-specific and broader financial institution liquidity risk and concerns. Although the U.S. Department of the Treasury, the Federal Reserve and the FDIC jointly released a statement that depositors at SVB and Signature Bank would have access to their funds, even those in excess of the standard FDIC insurance limits, under a systemic risk exception,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current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strategy, our financial condition, results of operations or cash flows and stock price and could require us to alter our plans. In addition, there is a risk that one or more of our service providers, financial institutions, manufacturers, suppliers and other partners may be adversely affected by the foregoing risks, which could directly affect our ability to attain our operating goals on schedule and on budget.</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expect to carry any business interruption insurance or any other insurance (except for director and officer, property, product and professional liability, malpractice and clinical trials insurance). As a result, we may incur uninsured losses, increasing the possibility that you would lose your entire investment in our company.</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products and services are in the medical imaging field and so may be subject to claims. We are not immune from product liability or other product claim risks, and we may not be able to maintain insurance on acceptable terms against such risks or that such insurance will be sufficient to protect us against potential claims or that insurance will be available in the future in amounts sufficient to protect us. A product liability claim, malpractice or other claim, as well as any claims for uninsured liabilities or in excess of insured liabilities, could have a material adverse effect on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directors and/or officers may have interests that compete with or may differ from ours.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of our directors currently own, operate and manage other entities, which may have similar or different objectives than ours. Such activities could detract from the time these people have to allocate to our affairs. We lease office space to an entity in which Ran Poliakine (the chairman of our board of directors) serves as a member of senior management and is a significant shareholder. See “Item 7. Major Shareholders and Related Party Transactions—B. Related Party Transactions—Agreements with Directors and Officers—Relationship with Illumigyn Ltd.” Additionally, we lease office space to an entity of which Ran Poliakine is a shareholder of its parent company. See “Item 7. Major Shareholders and Related Party Transactions—B. Related Party Transactions—Agreements With Directors and Officers—Relationship with Wellsense Technologies, Ltd.” The terms of such agreements may not be as favorable to us as those that could be obtained from a third party. Moreover, certain of our directors and officers are affiliated with our current shareholders, and may have different interests than other shareholders. For additional information regarding related party transactions and potential conflicts of interest, see “Item 7. Major Shareholders and Related Party Transactions—B. Related Party Transactions.” Under the Israeli Companies Law, 5759-1999 (the “Companies Law”), office holders must promptly disclose to us any direct or indirect personal interest (within the meaning of the Companies Law) that he or she may have and all related material information or documents known to him or her relating to any existing or proposed transaction by us. In addition, we have adopted a code of ethics and conduct that requires our employees, officers and directors to disclose any situation that reasonably would be expected to give rise to a conflict of interest.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in the United States. Our management team may not successfully or efficiently manage our operations a public company subject to significant regulatory oversight and reporting obligations under the U.S. federal securities laws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financial condition, results of operations and prospects.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corporate governance (“ESG”) issues, including those related to climate change and sustainability, may have an adverse effect on our business, financial condition and results of operations and damage our reputation.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is an increasing focus from certain investors, customers, consumers, employees and other stakeholders concerning ESG matters. Additionally, public interest and legislative pressure related to public companies’ ESG practices continue to grow. If our ESG practices fail to meet regulatory requirements or investor, employee or other stakeholders’ evolving expectations and standards for responsible corporate citizenship in areas including environmental stewardship, support for local communities, Board of Directors and employee diversity, human capital management, employee health and safety practices, product quality, supply chain management, corporate governance and transparency, our reputation and employee retention may be negatively impacted, and our suppliers may be unwilling to continue to do business with us.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Investors and other stakeholders are increasingly focusing on environmental issues, including climate change, energy and water use, plastic waste and other sustainability concerns. Concern over climate change may result in new or increased legal and regulatory requirements to reduce or mitigate impacts to the environment. Increased regulatory requirements may result in increased demands or requirements regarding components of our products and their environmental impact on sustainability. Complying with these demands or requirements could cause us to incur additional manufacturing, operating or product development costs.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new sustainability rules and regulations have been adopted and may continue to be introduced in various states and other jurisdictions. For example, the SEC has published proposed rules that would require companies to provide significantly expanded climate-related disclosures in their periodic reporting, which may require us to incur significant additional costs to comply and impose increased oversight obligations on our management and board of directors.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do not adapt to or comply with new regulations, or fail to meet evolving investor, industry or stakeholder expectations and concerns regarding ESG issues, investors may reconsider their capital investment in our Company, which could have a material adverse effect on our business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intellectual property and our proprietary technologies, and we may not be able to ensure their protection.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upon a combination of patents and trade secrets to protect the intellectual property related to our proprietary technologies. Our success depends significantly on our ability to obtain and maintain intellectual property protection with respect to our technology and products. Patents and other proprietary rights provide uncertain protections, and we may be unable to protect our intellectual property for reasons including those that result from complex factual and legal issues such as those that create uncertainty as to the validity, scope and enforceability of any particular patent that we hold or for which we have applied. As a result, we may be unsuccessful in defending our patents and other proprietary rights against third-party challenges, which could have a material adverse effect on our business.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we are attempting to obtain patent coverage for our technology where available and where we believe appropriate, there are aspects of the technology for which patent coverage may never be sought or received. Additionally, we have obtained, and may in the future obtain, certain intellectual property related to our technology from third parties, and we cannot be certain that such third parties took the necessary actions to maintain such rights or that the transfer of such rights to us was proper and effective. We may, as a result, be subject to claims challenging the ownership or enforceability of such rights. Furthermore, we may not possess the resources to, or for other reasons may not choose to, pursue patent protection on every invention or in any or every country where we may eventually decide to sell our future products. Our ability to prevent others from making or selling duplicate or similar technologies will be impaired for those technologies with respect to which, and in those countries where, we have no patent protection. In addition, there is no assurance that all potentially relevant prior art relating to our patents and patent applications has been found, which can prevent a patent from issuing from a pending patent application or later invalidate or narrow the scope of an issued patent. Even if patents do successfully issue and even if such patents cover our technology, third parties may challenge their validity, enforceability or scope, which may result in such patents being narrowed, invalidated, or held unenforceable. Any successful challenge to these patents or any other patents owned by or licensed to us could deprive us of rights necessary for the successful commercialization of our technology.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for patents that we do issue based on our applications or future applications, any issued patents may not provide us with any competitive advantages. Competitors may be able to design around our patents and develop products that provide outcomes comparable or superior to ours. Any changes we make to our product or any future products, including designs that may be required for commercialization or that cause them to have what we view as more advantageous properties, may not be covered by patents and patent applications we have licensed or own, and we may be required to file new applications and/or seek other forms of protection for any such altered products if any such protection is available. In addition, the patent prosecution process is expensive, time-consuming and complicated, and we and our current or future licensors, licensees or collaborators may not be able to prepare, file, prosecute and maintain all necessary or desirable patents or patent applications at a reasonable cost or in a timely manner. It is also possible that we or our current or future licensors, licensees or collaborators will fail to identify patentable aspects of inventions before it is too late to obtain patent protection for them. In addition, if we choose to and are able to secure patent protection in countries outside the U.S., the laws of some foreign countries may not protect our intellectual property rights to the same extent as do the laws of the United States. For instance,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and enforce our intellectual property rights, and more generally could affect the value of our intellectual property. Our efforts to seek patent protection for our technology could be negatively impacted by any such changes, which could have a material adverse effect on our existing patent rights and our ability to protect and enforce our intellectual property in the future.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come to believe that third parties are infringing on, or otherwise violating, our patents or other proprietary rights. To prevent infringement or unauthorized use, we may need to file infringement and/or misappropriation suits, which are very expensive and time-consuming, could result in meritorious counterclaims against us and would distract management’s attention. Also, in an infringement or misappropriation proceeding, a court may decide that one or more of our patents is invalid, unenforceable, or both, in which case third parties may be able to use our technology without paying license fees or royalties. Even if the validity of our patents is upheld, a court may refuse to stop the other party from using the technology at issue on the grounds that the other party’s activities are not covered by our patents.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patents, we rely on trade secrets to protect our technology; however, the policies we use to protect our trade secrets may not be effective in preventing misappropriation of our trade secrets by others. In addition, confidentiality agreements executed by our employees, consultants and advisors may not be enforceable or may not provide meaningful protection for our trade secrets or other proprietary information in the event of unauthorized use or disclosure. Litigating a trade secret claim is expensive and time consuming, and the outcome may be unexpected. In addition, courts outside the United States are sometimes less willing to protect trade secrets. Moreover, our competitors may independently develop knowledge, methods and know-how that allow them to create substantially similar products or services without misappropriating our trade secrets. If we are unable to protect our trade secrets, we may be unable to prevent competitors from using our own inventions and intellectual property to compete against us, and our business may be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future products for an adequate amount of time.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future products are obtained, once the patent life has expired, we may be open to competition from competitive products.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products, patents protecting our future products might expire before or shortly after we or our future partners commercialize those products. As a result, our owned and licensed patent portfolio may not provide us with sufficient rights to exclude others from commercializing products similar or identical to ours for a sufficient amount of time, and, as a result, we may not be able to obtain adequate protection from our patent portfolio against competition, in spite of the time and effort invested in the commercialization of our future products.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that our technology or our future products or the sale or use of our future products infringe the patents or other intellectual property rights of third parties could result in costly litigation or could require substantial time and money to resolve, even if litigation is avoided.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our industry is characterized by competing intellectual property, we may be subject to legal actions for violating the intellectual property rights of others, including claims that former employees, collaborators or third parties have an interest in our patents, trade secrets or other intellectual property. For example, we may have inventorship or ownership disputes arising from conflicting obligations of employees, consultants or others who are involved in developing our technology or our products.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also may be required to participate in interference, derivation or opposition proceedings that concern disputes regarding priority of inventions disclosed in our patents. Determining whether a product infringes a patent, as well as priority of inventions and other patent-related disputes, involves complex legal and factual issues and the outcome is often uncertain. We have not conducted any significant search of patents issued to third parties, and third-party patents containing claims covering our technology or methods that predate our patents may exist. Because of the number of patents issued and patent applications filed in our technical areas or fields (including some pertaining specifically to medical imaging technologies), our competitors or other third parties may assert that our technology and the methods we employ in the use of products incorporating our technology are covered by United States or foreign patents held by them. In addition, because patent applications can take many years to issue and because publication schedules for pending applications vary by jurisdiction, there may be applications now pending of which we are unaware, and which may result in issued patents that our technology or other future products would infringe. Also, because the claims of published patent applications can change between publication and patent grant, there may be published patent applications that may ultimately issue with claims that we infringe.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the number of competitors in the market for medical imaging technologies increases, and as the number of patents issued in this area grows, the possibility of patent infringement claims against us increases. Some of our competitors may be able to sustain the costs of complex patent litigation more effectively than we can, including if they have substantially greater resources. Defending against such litigation is costly and time consuming, and would distract our management from our business. In addition, any uncertainties resulting from the initiation and continuation of any litigation could have a material adverse effect on our ability to raise the funds necessary to continue our operations.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we become subject to a patent infringement or other intellectual property lawsuit and if the relevant patents or other intellectual property were upheld as valid and enforceable and we were found to infringe or violate those rights or the terms of a license to which we are a party, we could be prevented from selling any infringing products of ours unless we could obtain a license or were able to redesign the product to avoid infringement. If we were unable to obtain a license or successfully redesign, we might be prevented from selling our technology or other future products. If we are able to redesign, we may need to invest substantial resources in the redesign process. If there is an allegation or determination that we have infringed the intellectual property rights of a competitor or other person, we may be required to pay damages, or a settlement or ongoing royalties, or we may be required to enter into cross-licenses with our competitors. In any of these circumstances, we may be unable to sell our products at competitive prices or at all, and our business, financial condition, results of operations and prospects could be harmed.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may be required to indemnify our customers and distributors against claims relating to the infringement of intellectual property rights of third parties related to our products.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or distributors, or may be required to obtain licenses for the products or services they use. If we cannot obtain all necessary licenses on commercially reasonable terms, our distributors may be forced to stop distributing our products or services, and our customers may be forced to stop using our products or services.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discovery. There could also be public announcements of the results of hearings, motions or other interim proceedings or developments, which could have a material adverse effect on the price of our ordinary shares. If securities analysts or investors perceive these results to be negative, it could have a material adverse effect on the price of our ordinary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if we or our future licensors do not comply with these requirements.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 patent and patent application are due to be paid to the patent offices and agencies in several stages over the lifetime of the patent and patent application. The U.S. Patent and Trademark Office and various foreign governmental patent agencies require compliance with a number of procedural, documentary, fee payment and other similar provisions during the patent application process. In certain circumstances, we may be required to rely on our licensing partners to take the necessary action to comply with these requirements with respect to patents or other intellectual property they have licensed to us. While an inadvertent lapse can in many cases be cured by payment of a late fee or by other means in accordance with the applicable rules, there are situations in which noncompliance, which could include failure to respond to official actions within prescribed time limits, non-payment of fees and failure to properly legalize and submit formal documents, can result in abandonment or lapse of the patent or patent application, resulting in partial or complete loss of patent rights in the relevant jurisdiction. In such an event, our competitors may be able to enter the market and compete with our products, which would have a material adverse effect on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advisers have wrongfully used or disclosed alleged trade secrets of their former employers or claims asserting ownership of what we regard as our own intellectual property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of our employees, consultants and advisers, including our senior management, were previously employed at other companies that may have proprietary rights related to our business. Some of these employees, consultants and advisers, including members of our senior management, executed proprietary rights, non-disclosure and non-competition agreements in connection with such previous employment. Although we try to ensure that such individuals do not use the proprietary information or know-how of others in their work for us, we may be subject to claims that we or these employees have used or disclosed intellectual property, including trade secrets or other proprietary information, of any such individual’s former employer. We are not aware of any such disclosures, or threatened or pending claims related to these matters, but in the future, litigation may be necessary to defend against such claims. If we fail in defending any such claims, we may lose valuable intellectual property rights or personnel, in addition to possibly paying monetary damages and being enjoined from conducting our business as contemplated. Even if we are successful in defending against such claims, litigation could result in substantial costs and be a distraction to management.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a licensor, collaborator, employee, consultant, adviser or other third party may dispute our or our licensor’s ownership of certain intellectual property rights. We seek to address these concerns in our contractual agreements; however, we may not have contractual arrangements with the party in question and/or such provisions may not be effective. If these provisions prove to be ineffective, we may not be able to achieve our business objectives. If we or our licensors fail in defending any such claims, we may have to pay monetary damages and may lose valuable intellectual property rights, such as exclusive ownership of, or right to use, intellectual property, which could adversely impact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unregistered trademarks or trade names are valuable assets and may be challenged, infringed, circumvented or declared generic or determined to infringe third party’s marks. We may not be able to protect our rights to these trademarks and trade names, which may be necessary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unregistered trademarks or trade names. We have not conducted any registrability studies for possible future trademarks to assess whether such marks would be successfully registered. Over the long term, if we are unable to establish name recognition based on our trademarks and trade names, then we may not be able to compete effectively and our business may be adversely affected. In addition,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adversely affect our competitive position,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products may be subject to the terms and conditions of licenses and sublicenses granted to us by third parties.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on licenses and sublicenses to certain patent rights and other intellectual property from third parties that are important or necessary to the development of our products, including the software modules that we expect to integrate into the Nanox.CLOUD. These and other licenses may not provide exclusive rights to use such intellectual property in all relevant fields of use and in all territories in which we may wish to develop or commercialize our products and the underlying patents may fail to provide the intended exclusivity. As a result, we may not be able to prevent competitors from developing and commercializing competitive products in the markets that we hope to address. Moreover, we would not own at least some of the underlying intellectual property rights related to these products, and as a result our rights would be subject to the continuation and compliance with the terms of those agreements. If such in-licenses were terminated, competitors would have the freedom to develop, seek regulatory approval of, and to market, products similar or identical to ours.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these license agreements may not grant us the right to control the preparation, filing, prosecution or maintenance of patents and patent applications covering our products. Therefore, we cannot be certain that these patents and patent applications will be prepared, filed, prosecuted or maintained in a manner consistent with the best interests of our business. If our current or future licensing partners fail to file, prosecute or maintain such patents, including the payment of applicable fees, or otherwise lose rights to those patents or patent applications, the intellectual property we have licensed or exclusivity we have been granted may be reduced or eliminated, and our right to develop and commercialize any of our future products that are subject of such licensed rights, and our ability to prevent competitors from developing or commercializing such products, could be adversely affected. In addition, even where we have the right to control patent prosecution and maintenance of patents and patent applications we have licensed from third parties, we may still be adversely affected or prejudiced by actions or inactions of our licensees, our licensors and their counsel that took place prior to the date upon which we assumed control over patent prosecution.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terms of such license agreements, the licensors may also have the right to control enforcement of our licensed patents or defense of any claims asserting the invalidity or unenforceability of these patents. Even if we are permitted to pursue the enforcement or defense of our licensed patents, we may require the cooperation of our future licensors or collaboration partners and any other applicable patent owners and we cannot be certain that such cooperation will be provided to us. We also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we lose any of our licensed intellectual property, our right to develop and commercialize any of our products that are subject of such licensed rights could be adversely affected.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future licensors may rely on third-party consultants or collaborators or on funds from third parties such that our licensors are not the sole and exclusive owners of the patents we in-license. If other third parties have ownership rights to our in-licensed patents, they may be able to license such patents to our competitors, and our competitors could market competing products and technologies. In addition, if our licensors have not obtained adequate rights from these third parties, we may need to obtain additional rights from these third parties or we could be prevented from developing and commercializing the related products. This could have a material adverse effect on our competitive position, business, financial conditions, results of operations and prospects.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might therefore terminate the license agreements, in which event we may have to cease developing, manufacturing or marketing any product covered by these agreements and we may face other additional penalties or be required to grant our licensors additional rights.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pay certain milestones and royalties and fulfill other obligations under our license agreements with third-party licensors.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be required to pay milestones and royalties related to our development or commercialization activities of our products utilizing the technologies licensed or sublicensed from third parties under license agreements we may enter into with them. These payments could adversely affect our overall profitability related to any future products that we may seek to develop or commercialize. In order to maintain our license rights under our license agreements, we may need to meet certain specified milestones or fulfill certain obligations, including to devote a certain amount of resources, in the development of our products. Failure to satisfy such obligations could result in the termination of our rights under such agreements.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If we choose to license our technology to third parties, this could result in disputes or otherwise limit our future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also in the future, as one of our strategies, deploy our technology into the market and license patents and other intellectual proprietary rights to third parties. Disputes with our licensees may arise, including regarding the scope and content of these licenses. Additionally, a licensee may use our intellectual property without our permission, dispute our ownership of certain intellectual property rights or argue that our intellectual property does not cover our product. Regardless of whether we pursue legal action to enforce any such dispute, a dispute with a licensee or customer over intellectual property rights may damage our relationship with that licensee or customer and may also harm our reputation in the industry. Our ability to expand into additional fields with our technologies also may be restricted by licenses or other rights we may grant to third parties in the future, including if the licenses are exclusive, the licensee is assigned ownership of intellectual property that we develop or rights of first negotiation or refusal are granted.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and operations are subject to extensive government regulation and oversight both in the United States and abroad, and our failure to comply with applicable requirements could harm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expect the Nanox.ARC (including the Nanox.CLOUD) and other future products we develop to be regulated by the FDA as medical devices. Our product candidate is subject to extensive regulation in the United States and elsewhere, including by the FDA and its foreign counterparts, the U.S. Department of Justice (the “DOJ”) and the U.S. Department of Health and Human Services-Office of the Inspector General. The FDA and foreign regulatory agencies regulate,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and approval; conformity assessment procedures; record keeping procedures; advertising and promotion; recalls and field safety corrective actions; post-market surveillance, including reporting of deaths or serious injuries and malfunctions that, if they were to occur, could lead to death or serious injury; post-market approval studies; and product import and export.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regulations our product candidate is subject to are complex and have tended to become more stringent over time. Regulatory changes could result in restrictions on or additional requirements affecting our ability to develop our products, carry on or expand our operations, higher than anticipated costs or lower than anticipated sales for any approved product. Failure to comply with applicable regulations could jeopardize our ability to sell our future products, following receipt of clearance from the FDA, and if cleared or approved in other jurisdictions, and result in enforcement actions such as: warning or untitled letters; fines; injunctions; consent decrees; civil penalties; customer notifications; termination of distribution; recalls or seizures of products; administrative detention of medical devices believed to be adulterated or misbranded; delays in the introduction of products into the market; operating restrictions; total or partial suspension of production; refusal to grant future clearances or approvals for new products, new intended uses or modifications to our products; withdrawals or suspensions of current approvals, resulting in prohibitions on sales of our products; and in the most serious cases, criminal prosecution or penalties. The occurrence of any of these events would have a material adverse effect on our business, financial condition and results of operations and could result in shareholders losing their entire investment.</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or may be delayed in receiving, the necessary clearances or approvals for our future products, and failure to timely obtain necessary clearances or approvals for our future products would adversely affect our ability to grow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before we can market a new medical device, or a new use of, new claim for or significant modification to an existing product, we must first receive either clearance under Section 510(k) of the Federal Food, Drug, and Cosmetic Act (the “FDCA”) or approval of a pre-market approval application (a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generally much more costly and uncertain than the 510(k) clearance process and generally takes from one to three years, or even longer, from the time the application is submitted to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or other restrictions or requirements, which may limit the market for the device.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the United States, we continue to implement a multi-step approach to the regulatory clearance process. As a first step, we submitted a 510(k) premarket notification for the Nanox Cart X-Ray System, a single-source version of the Nanox.ARC, to an accredited Review Organization under the Third Party Review Program in January 2020. On April 1, 2021, we received clearance from the FDA to market our Nanox Cart X-Ray System. On June 17, 2021, we submitted a 510(k) premarket notification application to the FDA for the first version of our multi-source Nanox.ARC 3D digital tomosynthesis system. On August 12, 2021, we received a request for additional information from the FDA concerning the first submission of our multi-source system. On January 10, 2022, we withdrew our first submission of our multi-source system. On January 12, 2022, we submitted a Q-submission for the second version of our multi-source Nanox.ARC 3D digital tomosynthesis system to the FDA. The Q-submission program provides submitters an opportunity to have early collaboration and discussions about medical device submissions, through a request for feedback from and/or a meeting with the FDA regarding a potential or planned medical device submission. On September 26, 2022, we submitted a 510(k) premarket notification to the FDA as part of our 510(k) application process for the second version of our multi-source Nanox.ARC 3D digital tomosynthesis system (including the Nanox.CLOUD). On April 28, 2023, we received a 510(k) clearance from the FDA to market the Nanox.ARC (including the Nanox.CLOUD) as a stationary X‎-ray system‎ intended to produce tomographic images of the human musculoskeletal system adjunctive to conventional radiography, on adult patients. This device is</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intended to be used in professional healthcare facilities‎ or radiological‎ environments,‎ such as hospitals,‎ clinics, imaging centers‎ and other‎ medical practices‎ by trained radiographers, ‎radiologists and physicists.</w:t>
      </w:r>
    </w:p>
    <w:p>
      <w:pPr>
        <w:spacing w:after="0" w:line="181" w:lineRule="exact"/>
        <w:rPr>
          <w:sz w:val="20"/>
          <w:szCs w:val="20"/>
          <w:color w:val="auto"/>
        </w:rPr>
      </w:pPr>
    </w:p>
    <w:p>
      <w:pPr>
        <w:jc w:val="both"/>
        <w:ind w:right="40" w:firstLine="648"/>
        <w:spacing w:after="0" w:line="253" w:lineRule="auto"/>
        <w:rPr>
          <w:sz w:val="20"/>
          <w:szCs w:val="20"/>
          <w:color w:val="auto"/>
        </w:rPr>
      </w:pPr>
      <w:r>
        <w:rPr>
          <w:rFonts w:ascii="Times New Roman" w:cs="Times New Roman" w:eastAsia="Times New Roman" w:hAnsi="Times New Roman"/>
          <w:sz w:val="18"/>
          <w:szCs w:val="18"/>
          <w:color w:val="auto"/>
        </w:rPr>
        <w:t>We expect to commercialize the second version of our multi-source Nanox.ARC and the Nanox.CLOUD as the Nanox System. Any modification to these systems that has not been previously cleared may require us to submit a new 510(k) premarket notification and obtain clearance, or submit a PMA and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may make modifications or add additional features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including new or additional clinical trial requirements, product introductions or modifications could be delayed or canceled, which could adversely affect our ability to grow our business.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medical device for many reasons, including:</w:t>
      </w:r>
    </w:p>
    <w:p>
      <w:pPr>
        <w:spacing w:after="0" w:line="225" w:lineRule="exact"/>
        <w:rPr>
          <w:sz w:val="20"/>
          <w:szCs w:val="20"/>
          <w:color w:val="auto"/>
        </w:rPr>
      </w:pPr>
    </w:p>
    <w:p>
      <w:pPr>
        <w:ind w:left="980" w:right="4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notified body that our product candidates are safe or effective for their intended uses or are substantially equivalent to a predicate device;</w:t>
      </w:r>
    </w:p>
    <w:p>
      <w:pPr>
        <w:spacing w:after="0" w:line="161"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or the applicable foreign regulatory body with the design or implementation of our clinical trials or the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effects experienced by participants in our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877" w:right="299" w:bottom="1440" w:gutter="0" w:footer="0" w:header="0"/>
        </w:sectPr>
      </w:pPr>
    </w:p>
    <w:bookmarkStart w:id="34" w:name="page35"/>
    <w:bookmarkEnd w:id="3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order to sell our products in member countries of the European Economic Area (“EEA”), our products must comply with the essential requirements of the EU Medical Devices Regulation (EU) 2017/745. Compliance with these requirements is a prerequisite to be able to affix the Conformité Européene (“CE”) mark to our products, without which they cannot be sold or marketed in the EEA. To demonstrate compliance with the essential requirements we must undergo a conformity assessment procedure, which varies according to the type of medical device and its classification. Except for low-risk medical devices (Class I non-sterile, non-measuring devices), where the manufacturer can issue a European Community (“EC”) Declaration of Conformity based on a self-assessment of the conformity of its products with the essential requirements of the EU Medical Devices Directive, a conformity assessment procedure requires the intervention of an organization accredited by a member state of the EEA to conduct conformity assessments, or a Notified Body. Depending on the relevant conformity assessment procedure, the Notified Body would typically audit and examine the technical file and audit the quality system of the manufacturer and manufacturing sites of our devices. The Notified Body issues a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If we fail to remain in compliance with applicable European laws and directives, we would be unable to continue to affix the CE mark to our products, which would prevent us from selling them within the EEA.</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post-marketing regulatory requirements could subject us to enforcement actions, including substantial penalties, and might require us to recall or withdraw a product from the market.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Even though we received clearance from the FDA to market the Nanox.ARC (including the Nanox.CLOUD), and if we receive regulatory clearance or approval of other future products, we remain subject to ongoing and pervasive regulatory requirements governing, among other things, the manufacture, marketing, advertising, medical device reporting, sale, promotion, import, export, registration, and listing of devices. For example, we are required to submit periodic reports to the FDA as a condition of 510(k) clearance. These reports include information about failures and certain adverse events associated with the device after its clearance. Failure to submit such reports, or failure to submit the reports in a timely manner, could result in enforcement action by the FDA. Following its review of the periodic reports, the FDA might ask for additional information or initiate further investigation.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clearance or approval to market a device, we have ongoing responsibilities under FDA regulations and applicable foreign laws and regulations. The FDA, state and foreign regulatory authorities have broad surveillance and enforcement powers. Our failure to comply with applicable regulatory requirements could result in enforcement action by the FDA, state or foreign regulatory authorities, which may include any of the following sanctions:</w:t>
      </w:r>
    </w:p>
    <w:p>
      <w:pPr>
        <w:spacing w:after="0" w:line="183"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or warning letters;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termination of distribution, administrative detention, or seizure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refusal to grant our requests for future clearances or approvals or foreign marketing authorizations of new products, new intended uses, or modifications to existing products;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or suspensions of product clearances or approvals, resulting in prohibitions on sales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needed to export products for sale in other countries;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of these sanctions could result in higher than anticipated costs or lower than anticipated sales and have a material adverse effect on our reputation, business, financial condition and results of operations.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FDA or state or foreign authorities may change their clearance and approval policies, adopt additional regulations or revise existing regulations, or take other actions, which may prevent or delay clearance or approval of our future products under development on a timely basis. Such policy or regulatory changes could impose additional requirements upon us that could delay our ability to obtain new clearances or approvals, increase the costs of compliance or restrict our ability to maintain any approvals we are able to obtain. For example, the FDA has announced steps that the FDA intends to take to modernize the premarket notification pathway under Section 510(k) of the FDCA. For more information, see “—Legislative or regulatory reforms in the United States or the EU may make it more difficult and costly for us to obtain regulatory clearances or approvals for our products or to manufacture, market or distribute our products after clearance or approval is obtained.”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must be manufactured in accordance with federal, state and foreign regulations, and we could be forced to recall our devices or terminate production if we fail to comply with these regulations.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methods used in, and the facilities used for, the manufacture of our products must comply with the Quality System Regulation (“QSR”), which is a complex regulatory scheme that covers the procedures and documentation of the design, testing, production, process controls, quality assurance, labeling, packaging, handling, storage, distribution, installation, servicing and shipping of medical devices. As manufacturers of electron radiation-emitting products, we are also responsible for compliance with the radiological health regulations and certain radiation safety performance standards.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third-party manufacturers may not take the necessary steps to comply with applicable regulations, which could cause delays in the delivery of our products. In addition, failure to comply with applicable FDA or state or foreign requirements or later discovery of previously unknown problems with our products or manufacturing processes could result in, among other things: warning letters or untitled letters; fines, injunctions or civil penalties; suspension or withdrawal of approvals;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our suppliers or our employees.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Advertising and promotion of our future products that obtains approval in the United States may be heavily scrutinized by the FDA, the DOJ, HHS, state attorneys general, members of Congress, and the public. In addition, advertising and promotion of any future product that obtains approval outside of the United States will be heavily scrutinized by comparable foreign regulatory authorities.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expect that, if cleared or approved, our products, including the multi-source Nanox.ARC (including the Nanox.CLOUD), will be cleared by the requisite regulatory authorities for specific indications. For example, on April 28, 2023, we received a 510(k) clearance from the FDA to market the Nanox.ARC (including the Nanox.CLOUD) as a stationary ‎X-ray ‎system ‎intended to produce tomographic images of the human musculoskeletal system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adjunctive to conventional radiography, on adult patients. This device is intended‎ to be used in professional healthcare facilities‎ or radiological‎</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‎environments, such as ‎hospitals, clinics, imaging ‎centers, and ‎other medical practices‎by trained radiographers, ‎radiologists, and physicists. We expect to train our marketing personnel and direct sales force to not promote our devices for uses outside of the FDA-approved indications for use, known as “off-label uses.” We cannot, however, prevent a physician from using our devices off-label, when in the physician’s independent professional medical judgment he or she deems it appropriate. There may be increased risk of injury to patients if physicians attempt to use our devices off-label. Furthermore, the use of our devices for indications other than those approved by the FDA or approved by any foreign regulatory body may not effectively treat such conditions, which could harm our reputation in the marketplace among healthcare providers and patients.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FDA or any state or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 We may become subject to such actions and, if we are not successful in defending against such actions, those actions may have a material adverse effect on our business, financial condition and results of operations. Equivalent laws and potential consequences exist in foreign jurisdictions.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if our products are cleared or approved, healthcare providers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the Nanox.ARC (including the Nanox.CLOUD) received clearance from the FDA, 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other regulatory bodies could take action, including warning letters, untitled letters, administrative actions, criminal prosecution, imposition of civil monetary penalties, revocation of our device clearance or approval, seizure of our products or delay in clearance or approval of future products.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Physicians, other healthcare providers, and third-party payors will play a primary role with respect to any future products for which we obtain marketing approval. Our arrangements with third-party payors and customers may expose us to broadly applicable fraud and abuse and other healthcare laws and regulations that may constrain the business or financial arrangements and relationships through which we market, sell and distribute our product. Restrictions under applicable federal and state healthcare laws and regulations include the following:</w:t>
      </w:r>
    </w:p>
    <w:p>
      <w:pPr>
        <w:spacing w:after="0" w:line="180" w:lineRule="exact"/>
        <w:rPr>
          <w:sz w:val="20"/>
          <w:szCs w:val="20"/>
          <w:color w:val="auto"/>
        </w:rPr>
      </w:pPr>
    </w:p>
    <w:p>
      <w:pPr>
        <w:jc w:val="both"/>
        <w:ind w:left="980" w:hanging="324"/>
        <w:spacing w:after="0" w:line="25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healthcare program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federal healthcare programs such as Medicare and Medicaid. Although there are a number of statutory exemptions and regulatory safe harbors protecting certain common activities from prosecution, the exemptions and safe harbors are drawn narrowly and practices that involve remuneration to those who prescribe, purchase, or recommend medical devices, including certain discounts, or engaging consultants as speakers or consultants, may be subject to scrutiny if they do not fit squarely within the exemption or safe harbor. Our practices may not in all cases meet all of the criteria for safe harbor protection from anti-kickback liability. Moreover, there are no safe harbors for many common practices, such as educational and research grants.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civil False Claims Act.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 including, without limitation, our proposed Subscription Model, and our advisory, consulting and royalty agreements with certain physicians who receive compensation, in part, in the form of stock or stock options.</w:t>
      </w:r>
    </w:p>
    <w:p>
      <w:pPr>
        <w:spacing w:after="0" w:line="195"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prohibits, among other things, any person from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In recent years, several healthcare companies have faced enforcement actions under the federal False Claims Act for, among other things, allegedly providing free product to customers with the expectation that the customers would bill federal programs for the product or causing false claims to be submitted because of the company’s marketing the product for unapproved, and thus non-reimbursable, uses. False Claims Act liability is potentially significant in the healthcare industry because the statute provides for treble damages and mandatory penalties of tens of thousands of dollars per false claim or statement. Healthcare companies also are subject to other federal false claims laws, including, among others, federal criminal healthcare fraud and false statement statutes that extend to non-government health benefit programs.</w:t>
      </w:r>
    </w:p>
    <w:p>
      <w:pPr>
        <w:spacing w:after="0" w:line="194"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as amended by the Health Information Technology for Economic and Clinical Health Act of 2009 (“HITECH”), imposes criminal and civil liability for knowingly and willfully executing a scheme to defraud any healthcare benefit program, or knowingly and willfully falsifying, concealing or covering up a material fact or making any materially false statement in connection with the delivery of or payment for healthcare benefits, items or services. In addition, HIPAA, as amended by HITECH, and their respective implementing regulations impose obligations, including mandatory contractual terms, on covered healthcare providers, health plans, as well as their business associates, with respect to safeguarding the privacy, security and transmission of individually identifiable health information.</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 Sunshine Act, implemented as the Open Payments program, requires manufacturers of certain products reimbursed by Medicare, Medicaid, or the Children’s Health Insurance Program to track and report to the federal government payments and transfers of value that they make to physicians and teaching hospitals, certain other healthcare professionals, group purchasing organizations, and ownership interests held by physicians and their families, and provides for public disclosures of these data. Manufacturers are required to submit annual reports to the government and failure to do so may result in civil monetary penalties for all payments, transfers of value and ownership or investment interests not reported in an annual submission, and may result in liability under other federal laws and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both"/>
        <w:ind w:left="980" w:hanging="324"/>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 prohibiting certain physician self-referrals, known as the Stark Law, prohibits a physician from referring Medicare or Medicaid patients to an entity for certain “designated health services” if the physician has a prohibited financial relationship with that entity, unless an exception applies. Certain radiology services are considered “designated health services” under the Stark Law.</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states have adopted laws and regulations analogous to the federal laws cited above, including state anti-kickback and false claims laws, which may apply to items or services reimbursed under Medicaid and other state programs or, in several states, regardless of the payer. Several states have enacted legislation requiring medical device companies to, among other things, establish marketing compliance programs; file periodic reports with the state, including reports on gifts and payments to individual health care providers; make periodic public disclosures on sales, marketing, pricing, clinical trials and other activities; and/or register their sales representatives. Some states prohibit specified sales and marketing practices, including the provision of gifts, meals, or other items to certain health care providers.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involve substantial costs. Additionally,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Exclusion, suspension and debarment from government funded healthcare programs would significantly impact our ability to commercialize, sell or distribute any product. If any of the physicians or other providers or entities with whom we expect to do business are found not to be in compliance with applicable laws, they may be subject to criminal, civil or administrative sanctions, including exclusions from government funded healthcare programs.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relating to data protection, or any actual or perceived failure by us to comply with such laws and regulations or our privacy policies, could materially and adversely affect our business or could lead to government enforcement actions and significant penalties against us, and adversely impact our operating results.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expect to receive health information and other highly sensitive or confidential information and data of patients and other third parties (e.g., healthcare providers who refer patients for scans), which we expect to compile and analyze. While we have adopted measures to ensure that any such data will be transferred to us, to the extent possible, in a de-identified manner, collection and use of this data may still raise privacy and data protection concerns, which could negatively impact our business. There are numerous federal, state and international laws and regulations regarding privacy, data protection, information security, and the collection, storing, sharing, use, processing, transfer, disclosure, and protection of personal information and other data. These laws and regulations are becoming more complex and/or prevalent in the United States, Europe, Israel, and elsewhere. The regulatory framework for privacy and data protection worldwide is, and is likely to remain for the foreseeable future, uncertain and complex, and this or other actual or alleged obligations may be interpreted and applied in a manner that we may not anticipate or that is inconsistent from one jurisdiction to another and may conflict with other rules or practices including ours. Further, any significant change to applicable laws, regulations, or industry practices regarding the collection, use, retention, security, or disclosure of data, or their interpretation, or any changes regarding the manner in which the consent of relevant users for the collection, use, retention, or disclosure of such data must be obtained, could increase our costs and require us to modify our services and candidate products, possibly in a material manner, which we may be unable to complete, and may limit our ability to store and process patients’ data or develop new services and features.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particular, there have been laws and regulations adopted throughout the United States and in Israel that impose new obligations in areas such as privacy. In the United States, privacy and data security laws are also complex and changing rapidly, these laws are not consistent, and compliance with them in the event of a widespread data breach is complex and costly. Both federal and state legislation, U.S. Congress and individual states also govern the collection, use and other processing of personal data. For example, the California Consumer Privacy Act (“CCPA”), provides data privacy rights for California residents and operational requirements for covered companies. Among other things, companies covered by the CCPA must provide new disclosures to California residents and afford such residents the ability to opt-out of certain sales of personal information. The CCPA provides for civil penalties for violations, as well as a private right of action for data breaches that is expected to increase data breach litigation. In addition, the California Privacy Rights Act (“CPRA”), which took effect in January 2023, has expanded the rights granted under the CCPA and imposes additional requirements. Additional U.S. states have implemented, or are in the process of implementing, similar new laws or regulations (for example, the Virginia Consumer Data Protection Act (“VCDPA”), which took effect on January 1, 2023, and the Colorado Privacy Act (“CPA”), which will go into effect on July 1, 2023) that impose new privacy rights and obligations that resemble the CCPA and CPRA. Further, laws in all 50 states require businesses to provide notice to consumers whose personal information has been disclosed as a result of a data breach. More generally, some observers have noted that the CCPA, CPRA, VCDPA and CPA could mark the beginning of a trend toward more stringent United States federal privacy legislation, which could increase our potential liability and adversely affect our business.</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Most of the new regulations exempt personal information which is subject to the HIPAA and HITECH regulations. Nonetheless, new legislation may affect our operations and business conduct, as it applies to our general conduct, marketing efforts and where we process data that is not health-related by nature (and, therefore, not subject to HIPAA), and may increase our compliance costs and potential liability.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expect to obtain health information that is subject to privacy and security requirements under HIPAA and HITECH and its implementing regulations. The Privacy Standards and Security Standards under HIPAA establish a set of standards for the protection of individually identifiable health information by health plans, health care clearinghouses and certain health care providers, referred to as Covered Entities, and the business associates with whom Covered Entities enter into service relationships pursuant to which individually identifiable health information may be exchanged. As part of our normal operations, we expect to collect, process and retain personal identifying information regarding patients, including as a Business Associate of Covered Entities under HIPAA. Therefore, we expect to be subject to HIPAA, including changes implemented through HITECH, and we could be subject to criminal penalties if we knowingly obtain or disclose individually identifiable health information in a manner that is not authorized or permitted by HIPAA. A data breach affecting sensitive personal information, including health information, also could result in significant legal and financial exposure and reputational damages that could potentially have an adverse effect on our business.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HIPAA requires Covered Entities (like many of our potential customers) and Business Associates, like us, to develop and maintain policies and procedures with respect to protected health information that is used or disclosed, including the adoption of administrative, physical and technical safeguards to protect such information. HITECH expands the notification requirement for breaches of patient-identifiable health information, restricts certain disclosures and sales of patient-identifiable health information and provides for civil monetary penalties for HIPAA violations. HITECH also increased the civil and criminal penalties that may be imposed against Covered Entities and business associates and gave state attorneys general new authority to file civil actions for damages or injunctions in federal courts to enforce HIPAA and its implementing regulations and seek attorney’s fees and costs associated with pursuing federal civil actions. Additionally, certain states have adopted comparable privacy and security laws and regulations, some of which may be more stringent or broader in scope than HIPAA.</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Another example of recent U.S. data security requirements is the Food and Drug Omnibus Reform Act (“FDORA”), enacted in December 2022, which, among other provisions, requires developers of certain “cyber devices” to design and implement plans to monitor, identify and address cybersecurity vulnerabilities of those devices and to submit those plans to the FDA as part of every new product application for a cyber device. “Cyber devices” are defined as devices that include software, connect to the internet, and contain any technological features that could be vulnerable to cybersecurity threats. This provision entered into effect on March 29, 2023, and FDA has indicated that it expects sponsors of cyber devices to begin to comply with these requirements as of October 1, 2023.</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Internationally, many jurisdictions have or are considering enacting privacy or data protection laws or regulations relating to the collection, use, storage, transfer, disclosure and/or other processing of personal data, as well as certification requirements for the hosting of health data specifically. For example, the European Union’s General Data Protection Regulation (2016/679) (“GDPR”) governs certain collection and other processing activities involving personal data about data subjects in the European Economic Area (“EEA”). The GDPR, supplemented by national laws and further implemented through binding guidance from the European Data Protection Board, imposes stringent European Union data protection requirements and provides for significant penalties for noncompliance, ranging from €10 million to €20 million or 2% to 4% of our annual global revenue, whichever is higher. In the UK, we are subject to the UK General Data Protection Regulation and the United Kingdom’s Data Protection Act 2018 (the “UK GDPR”), under which penalties for noncompliance range from £8.7 million to £17.5 million or 2% to 4% of our annual global revenue, whichever is higher. Our UK and EEA operations are exposed to two parallel regimes, each of which may subject us to increased compliance risk based on differing, and potentially inconsistent or conflicting, interpretation and enforcement by regulators and authorities (particularly given that the UK GDPR is likely to be subject to divergence from the GDPR over time).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GDPR and the UK GDPR, our processing of health data and other highly sensitive data (referred to as “special category data” in those regulations) exposes us to further compliance risk. We carry out data protection impact assessments (“DPIAs”) in connection with our high-risk processing activities and implement appropriate safeguards and mechanisms to ensure adequate protection of the personal data, in order to comply with GDPR/UK GDPR.</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legal developments in Europe in recent years, have created complexity and uncertainty regarding transfers of personal data from the EEA to the United States. On July 16, 2020, in its Schrems II judgment, the Court of Justice of the European Union (“CJEU”) invalidated the EU-US Privacy Shield Framework (“Privacy Shield”), under which personal data could be transferred from the EEA to U.S. entities which had self-certified under the Privacy Shield scheme. On October 7, 2022, President Biden signed an Executive Order on ‘Enhancing Safeguards for United States Intelligence Activities’ which introduced new binding safeguards to address the concerns raised by the CJEU in its Schrems II judgement. Although this Executive Order is intended to form the basis of a new EU-US Data Privacy Framework (the “Framework”), the Framework is still in development and its route to implementation remains uncertain. Until the Framework is in place, our agreements and engagements with customers may be affected by the need to sign and implement additional agreements and security measures and this could lead to additional costs and increase our overall risk exposure. On June 27, 2021, the European Commission published a new set of modular standard contractual clauses (the “New SCCs”). The New SCCs must be used for all relevant transfers of personal data outside the EEA (since December 27, 2022) and organizations must ensure that all new and existing contracts involving the transfer of personal data outside the EEA contain New SCCs and, for transfers out of the UK, the International Data Transfer Agreement (“IDTA”) or the UK Addendum to the New SCCs. In addition to the use of a valid data transfer mechanism, transfer impact assessments must be carried out in respect of planned transfers of personal data from the EEA/UK to third countries including the U.S., and failure to do so may expose us to further compliance risk.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the European Commission regularly re-examines its adequacy decisions, including its Decision 2011/61/EU regarding the adequacy of Israeli law. If, in light of the GDPR and developments in Israeli privacy legislation, Israel’s adequacy status for purposes of transfers of personal data from the EEA to Israel was revoked, this would affect our activities as an Israeli-based organization. The outcome of this examination may also affect the UK’s approach on the adequacy of Israeli law with respect to the UK GDPR, which could require us to further review and amend the lawful mechanisms by which we make and/or receive personal data transfers from the UK. In addition, while the European Commission adopted an adequacy decision for the UK on June 28, 2021, allowing the continued flow of personal data from the EEA to the UK, this decision will automatically expire in June 2025 unless the European Commission re-assesses and renews or extends that decision. The decision will be regularly reviewed by the European Commission going forward and may be revoked if the UK diverges from its current data protection laws and the European Commission deems the UK to no longer provide adequate protection of personal data.</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Virtually every jurisdiction in which we expect to operate has established its own data security and privacy legal framework with which we must, and our target customers will need to, comply, including the rules and regulation mentioned above. We may also need to comply with varying and possibly conflicting privacy laws and regulations in other jurisdictions. As a result, we could face regulatory actions, including significant fines or penalties, adverse publicity and possible loss of business.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we are preparing to implement various measures intended to enable us to comply with applicable privacy or data protection laws, regulations and contractual obligations, these measures may not always be effective and do not guarantee compliance. Any failure or perceived failure by us to comply with our contractual or legal obligations or regulatory requirements relating to privacy, data protection, or information security may result in governmental investigations or enforcement actions, litigation, claims, or public statements against us by consumer advocacy groups or others and could result in significant liability, cause our customers, partners or patients to lose trust in us, and otherwise materially and adversely affect our reputation and business. Furthermore, the costs of compliance with, and other burdens imposed by, the laws, regulations, and policies that are applicable to the businesses of our customers or partners may limit the adoption and use of, and reduce the overall demand for, our products and services. Additionally, if third parties we work with violate applicable laws, regulations, or agreements, such violations may put the data we have received at risk, could result in governmental investigations or enforcement actions, fines, litigation, claims, or public statements against us by consumer advocacy groups or others and could result in significant liability, cause our customers, partners or patients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regulation of new and emerging technologies such as artificial intelligence.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company that utilizes AI in our products and services, we are subject to regulatory and legal risks related to the use of AI. The development, deployment and use of AI technologies are subject to a variety of evolving laws and regulations, which may differ across jurisdictions and may evolve over time. Our failure to comply with these laws and regulations could result in legal liability, regulatory enforcement actions, negative publicity and damage to our reputation. For example, the EU Artificial Intelligence Act was proposed on April 21, 2021 by the European Commission and aims to introduce a common regulatory and legal framework for artificial intelligence. The proposal does not confer rights on individuals, but regulates the providers of AI systems, and entities making use of them in a professional capacity. Among other things, the proposal may require us to implement additional quality assurance controls and measures to be reviewed and approved by regulatory submissions of our products. The European Council adopted a common position on the proposal on December 6, 2022 and the proposal continues to progress through the EU legislative process. The UK also published a white paper on AI Regulation on March 29, 2023, setting out proposals for an AI governance framework which existing regulators would apply within their existing remits. Further, the EU Artificial Intelligence Act may impose certain limitations regarding the utilization of AI and machine learning technologies. Any additional costs and penalties associated with increased compliance, enforcement and risk reduction could make certain offerings less profitable or increase the difficulty of bringing certain offerings to market or maintaining certain offerings.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international regulatory registrations, clearances or approvals for our products, we will be unable to market and sell our products outside of the United States.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Sales of our products outside of the United States are subject to foreign regulatory requirements that vary widely from country to country. Approval procedures vary among countries and can involve additional testing. The time required to obtain approval outside of the United States may differ substantially from that required to obtain FDA approval. In addition, the FDA regulates exports of medical devices from the United States. While the regulations of some countries may not impose barriers to marketing and selling our products or only require notification, others require that we obtain the clearance or approval of a specified regulatory body. Complying with foreign regulatory requirements, including obtaining registrations, clearances or approvals, can be expensive and time-consuming, and we may not receive regulatory clearances or approvals in each country in which we plan to market our products or we may be unable to do so on a timely basis. The time required to obtain registrations, clearances or approvals, if required by other countries, may be longer than that required for FDA clearance or approval, and requirements for such registrations, clearances or approvals may significantly differ from FDA requirements. If we modify our products, we may need to apply for additional regulatory clearances or approvals before we are permitted to sell the modified product. In addition, we may not continue to meet the quality and safety standards required to maintain the authorizations that we have received. If we are unable to maintain our authorizations in a particular country, we will no longer be able to sell the applicable product in that country.</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Regulatory clearance or approval by the FDA does not ensure registration, clearance or approval by regulatory authorities in other countries, and registration, clearance or approval by one or more foreign regulatory authorities does not ensure registration, clearance or approval by regulatory authorities in other foreign countries or by the FDA. However, a failure or delay in obtaining registration or regulatory clearance or approval in one country may have a negative effect on the regulatory process in others.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in the United States or the EU may make it more difficult and costly for us to obtain regulatory clearances or approvals for our products or to manufacture, market or distribute our products after clearance or approval is obtained.</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regulation of medical devices.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forthcoming steps that the FDA intends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2019, the FDA finalized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in the case of applicable products, for manufacturers to compare the safety and performance of their medical devices to specific predicate devices in the clearance process. The FDA maintains a list of device types appropriate for the “safety and performance based” pathway and will continue to develop product-specific guidance documents that identify the performance criteria for each such device type, as well as the testing methods recommended in the guidance documents,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or approval of our future products.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or clearance that we may have obtained and we may not achieve or sustain profitability.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5, 2017, the European Parliament passed the Medical Devices Regulation (Regulation 2017/745), which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ensure a high level of safety and health while supporting innovation.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Medical Devices Regulation will, however, only become applicable three years after publication (in 2020). Once applicable, the new regulations will, among other things:</w:t>
      </w:r>
    </w:p>
    <w:p>
      <w:pPr>
        <w:spacing w:after="0" w:line="162"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rules on placing devices on the market and reinforce surveillance once they are available;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explicit provisions on manufacturers’ responsibilities for follow-up regarding the quality, performance and safety of devices placed on the market;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traceability of medical devices throughout the supply chain to the end-user or patient through a unique identification number;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up a central database to provide patients, healthcare professionals and the public with comprehensive information on products available in the EU;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rules for the assessment of certain high-risk devices, which may have to undergo an additional check by experts before they are placed on the market.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modifications may have an effect on the way we conduct our business in the EEA.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laws and regulatory changes could adversely affect our products and financial condition.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past several years, the U.S. healthcare industry has been subject to an increase in governmental regulation, as well as judicial challenges, at both the federal and state levels. Efforts to control healthcare costs, including limiting access to care, alternative delivery models and changes in the methods used to determine reimbursement scenarios and rates, are ongoing at the federal and state government levels. From time to time, changes designed to contain healthcare costs have been implemented, some of which have resulted in decreased reimbursement rates for diagnostic imaging services that may impact our business or may otherwise affect our ability to commercialize or profitably sell any product candidates for which we obtain regulatory approval.</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2010, former President Obama signed into law the Patient Protection and Affordable Care Act, and the Health Care and Education Reconciliation Act of 2010 (collectively, the “ACA”), which included measures that significantly changed the way healthcare is financed by both governmental and private insurers. While a primary goal of these healthcare reform efforts was to expand coverage to more individuals, it also involved additional regulatory mandates and other measures designed to constrain medical costs. The ACA significantly impacts the medical device industry. Among other things, the ACA:</w:t>
      </w:r>
    </w:p>
    <w:p>
      <w:pPr>
        <w:spacing w:after="0" w:line="183" w:lineRule="exact"/>
        <w:rPr>
          <w:sz w:val="20"/>
          <w:szCs w:val="20"/>
          <w:color w:val="auto"/>
        </w:rPr>
      </w:pPr>
    </w:p>
    <w:p>
      <w:pPr>
        <w:jc w:val="both"/>
        <w:ind w:left="980" w:hanging="324"/>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an annual excise tax of 2.3% on any entity that manufactures or imports medical devices offered for sale in the United States, which, through a series of legislative amendments, was suspended, effective January 1, 2016 and subsequently repealed altogether on December 20, 2019;</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a new Patient-Centered Outcomes Research Institute to oversee and identify priorities in comparative clinical effectiveness research in an effort to coordinate and develop such research;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Implements Medicare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ACA and related healthcare reform laws, regulations and initiatives have significantly increased regulation of managed care plans and decreased reimbursement under Medicare managed care. Moreover, to alleviate budget shortfalls, states have at times reduced or frozen payments to Medicaid managed care plans. We cannot accurately predict the complete impact of these healthcare reform initiatives, but they could lead to a decreased demand for medical devices and other outcomes that could adversely impact our business and financial results.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Some of the provisions of the ACA have yet to be fully implemented, and certain provisions have been subject to judicial and Congressional challenges. For example, the Tax Cuts and Jobs Act enacted on December 22, 2017, or TCJA, eliminated the shared responsibility payment for individuals who fail to maintain minimum essential coverage under section 5000A of the Internal Revenue Code of 1986, commonly referred to as the “individual mandate,” effective January 1, 2019. On December 14, 2018, a U.S. District Court Judge in the Northern District of Texas, or the Texas District Court Judge, ruled that the individual mandate is a critical and inseverable feature of the ACA, and therefore, because it was repealed as part of the Tax Cuts and Jobs Act, the remaining provisions of the ACA were invalid as well. On June 17, 2021, the Supreme Court held that state and individual plaintiffs did not have standing to challenge the individual mandate provision of the ACA; in so holding, the Supreme Court did not consider larger constitutional questions about the validity of this provision or the validity of the ACA in its entirety. Another case challenging the ACA’s requirement that private insurers cover certain preventative services is currently pending before the Texas District Court Judge. The Texas District Court Judge struck down this requirement with immediate nationwide effect on March 30, 2023, and the U.S. government has appealed the decision to the U.S. Court of Appeals for the Fifth Circuit. It is unclear how this decision and appeal, subsequent decisions and appeals, and other efforts to challenge, repeal or replace the ACA, or portions thereof, will affect our future products or our business. It is possible that the ACA, as currently enacted or as it may be amended in the future, and other healthcare reform measures that may be adopted in the future, could have an adverse effect on our industry generally and on our ability to commercialize our future products and achieve profitability.</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clear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medical devices or modifications to cleared or approved medical devices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Separately, in response to the COVID-19 pandemic, beginning in March 2020, the FDA postponed certain inspections of domestic and foreign manufacturing facilities. Since that time, the FDA has resumed on-site inspections of domestic and foreign manufacturing facilities; however, regulatory authorities within or outside the United States may adopt or resume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employment agreements generally include covenants not to compete. These agreements prohibit our employees, if they cease working for us, from competing directly with us or working for our competitors for a limited period. We may be unable to enforce these agreements under the laws of the jurisdictions in which our employees work at all or for a sufficient duration of time to prevent members of our management team from competing with us. For example, Israeli courts have required employers seeking to enforce covenants not to compete to demonstrate that the competitive activities of a former employee will harm one of a limited number of material interests of the employer, such as the secrecy of a company’s confidential commercial information or the protection of its intellectual property. In Israel, if we cannot demonstrate that such an interest will be harmed, we may be unable to prevent our competitors from benefiting from the expertise of our former employees or consultants and our competitiveness may be diminished.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attract and retain the highly skilled employees we need to support our planned growth.</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continue to execute our business and our growth plan, we must attract and retain highly qualified personnel. Competition for these personnel is intense. We may not be successful in attracting and retaining qualified personnel. If we fail to attract new personnel or fail to retain and motivate our current personnel, our business, financial condition, results of operations and future growth prospects could be severely harmed.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 and you may lose all or part of your investment.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market price for our shares may be volatile and subject to wide fluctuations in response to factors including the following:</w:t>
      </w:r>
    </w:p>
    <w:p>
      <w:pPr>
        <w:spacing w:after="0" w:line="225"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results of operations;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 as well as announcements by us or our competitors of significant business developments, changes in relationships with our target customers, manufacturers or suppliers, acquisitions or expansion plans;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provide to the public, as well as variance in our financial performance from the expectations of market analysts;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reports or short reports by securities analysts or other market participants;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other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and investigations, including the securities class-actions and the SEC inquiry;</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protection for our technology;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debt or equity financing efforts;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ordinary shares or other securities by us, our insiders or our other shareholders, or the perception that these sales may occur in the future;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estimation of the future size and growth rate of our markets;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political conditions in the United States or elsewhere.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particular, the market prices of pre-commercial-stage companies like ours have been highly volatile due to factors, including, but not limited to:</w:t>
      </w:r>
    </w:p>
    <w:p>
      <w:pPr>
        <w:spacing w:after="0" w:line="225"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our technology and future products or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product’s intellectual property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competitors’ technological innovations;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strategic partnerships, joint ventures, capital commitments, new technologies or patents;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significant transactions or collaborate with vendors in manufacturing our product;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for legislation that would place restrictions on the price of medical therapies.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ordinary shares to fluctuate substantially, regardless of our actual operating performance, which may limit or prevent investors from readily selling their ordinary shares and may otherwise negatively affect the liquidity of our ordinary shares. In addition, the stock market in general, and Nasdaq Global Market and emerging growth companies in particular, have experienced extreme price and volume fluctuations that have often been unrelated or disproportionate to the operating performance of these companies. Such broad market fluctuations, and other factors (such as variations in quarterly and yearly operating results, general trends in the medical imaging industry, and changes in state, federal or other applicable regulations affecting us and our industry) may adversely affect the market price of our ordinary shares, if a market for them develops.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past, when the market price of shares has been volatile, holders of those shares have instituted securities class action litigation against the company that issued the shares. If any of our shareholders brought a lawsuit against us, we could incur substantial costs defending the lawsuit. Such a lawsuit could also divert resources and the time and attention of our management.</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exempt from certain requirements that apply to domestic issuers and we are permitted to follow certain home country corporate governance practices instead of applicable SEC and Nasdaq requirements, which may result in less protection than is accorded to shareholders under rules applicable to domestic issuers.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although we intend to furnish comparable quarterly information on Form 6-K.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as a foreign private issuer, we are permitted to follow certain home country corporate governance practices instead of those otherwise required under the listing rules of the Nasdaq Stock Market for domestic issuers. For instance, we follow home country practice in Israel with regard to, among other things, the director nomination procedure, approval of compensation of officers, and quorum at shareholder meetings. In addition, we follow our home country law, instead of the listing rules of the Nasdaq Stock Market, which require that we obtain shareholder approval for certain dilutive events, such as for the establishment or amendment of certain equity based compensation plans, an issuance that will result in a change of control of the company, certain transactions other than a public offering involving issuances of a 20% or more interest in the company and certain acquisitions of the stock or assets of another company. As foreign private issuer we are also permitted to follow home country practice in Israel with regard to composition of the board of directors.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all of the above, you may not have the same protections afforded to shareholders of a company that is not a foreign private issuer.</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discussed above, we are a foreign private issuer and therefore we are not required to comply with all of the periodic disclosure and current reporting requirements of the Exchange Act applicable to U.S. domestic issuers. We will remain a foreign private issuer until our board determines that we no longer meet the qualification set forth in Securities Act Rule 405 and Exchange Act Rule 3b-4, with such determinations to be made on an annual basis as of the end of our second fiscal quarter. In order to maintain our current status as a foreign private issuer, either (a) a majority of our ordinary shares must be either directly or indirectly owned of record by non-residents of the United States or (b)(i) a majority of our executive officers or directors must not be U.S. citizens or residents, (ii) more than 50 percent of our assets cannot be located in the United States and (iii) our business must be administered principally outside the United States. If we lose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costs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have no immediate plans to pay dividends.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plan to reinvest all of our future earnings, to the extent we have earnings, in order to develop and commercialize our technology and products and to cover operating costs, finance operations and to otherwise become and remain competitive. We have never declared or paid any dividends on our ordinary shares and we do not plan to pay any cash dividends with respect to our securities in the foreseeable future. As we are a development-stage company with limited operating history, we may not be able to generate, at any time, sufficient surplus cash that would be available for distribution to the holders of our ordinary shares as a dividend. Therefore, you should not expect to receive cash dividends on the ordinary shares we are offering. Consequently, investors may need to rely on sales of their ordinary shares after price appreciation, which may never occur, as the only way to realize any future gains on their investment. In addition, the Companies Law imposes restrictions on our ability to declare and pay dividends. See “Item 8. Financial Information—A. Consolidated Statements and Other Financial Information—Dividend Policy” for additional information. Payment of dividends may also be subject to Israeli withholding taxes. See “Item “10. Additional Information—E. Taxation—</w:t>
      </w:r>
      <w:r>
        <w:rPr>
          <w:rFonts w:ascii="Times New Roman" w:cs="Times New Roman" w:eastAsia="Times New Roman" w:hAnsi="Times New Roman"/>
          <w:sz w:val="18"/>
          <w:szCs w:val="18"/>
          <w:i w:val="1"/>
          <w:iCs w:val="1"/>
          <w:color w:val="auto"/>
        </w:rPr>
        <w:t>Taxation of Our Shareholders—Dividends”</w:t>
      </w:r>
      <w:r>
        <w:rPr>
          <w:rFonts w:ascii="Times New Roman" w:cs="Times New Roman" w:eastAsia="Times New Roman" w:hAnsi="Times New Roman"/>
          <w:sz w:val="18"/>
          <w:szCs w:val="18"/>
          <w:color w:val="auto"/>
        </w:rPr>
        <w:t xml:space="preserve"> for additional information.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increased costs as a result of operating as a public company that reports to the SEC and our management is required to devote substantial time to meet compliance obligations.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reporting to the SEC, we incur significant legal, insurance, director compensation, accounting and other expenses that we did not incur as a private company. We are subject to reporting requirements of the Exchange Act and the Sarbanes-Oxley Act, as well as rules subsequently implemented by the SEC that impose significant requirements on public companies, including requiring establishment and maintenance of effective disclosure and financial controls and changes in corporate governance practices. In addition, the Dodd-Frank Wall Street Reform and Consumer Protection Act (the “Dodd-Frank Act”) imposes various other requirements on public companies. There are significant corporate governance and executive compensation-related provisions in the Dodd-Frank Act that may increase our legal and financial compliance costs, make some activities more difficult, time-consuming or costly and may also place undue strain on our personnel, systems and resources. Our management and other personnel may need to devote a substantial amount of time to these compliance initiatives. In addition, we expect these rules and regulations to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and expensive for us to attract and retain qualified people to serve on our board of directors, our board committees or as executive officers.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also incur costs associated with corporate governance requirements, including requirements under rules implemented by the SEC and the Nasdaq Global Market, and provisions of Israeli corporate law applicable to public companies. These rules and regulations have and will continue to increase our legal and financial compliance costs, introduce costs such as investor relations and stock exchange listing fees, and make some activities more time-consuming and costly. Our board and other personnel continue to devote a substantial amount of time to these initiatives. To the extent we are not in compliance with the Companies Law or Nasdaq Global Market rules, we may be subject to additional costs or delisting. We are continuously evaluating and monitoring developments with respect to these rules, and we cannot estimate the amount of additional costs we may incur or the timing of such costs.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incurred and expect to continue to incur additional expenses and devote increased management effort toward ensuring compliance with the auditor attestation requirements of Section 404 of the Sarbanes Oxley Act (and the rules and regulations of the SEC thereunder) because we no longer qualify as an “emerging growth company.” We cannot estimate the amount of additional costs we may incur as a result of being a public company or the timing of such costs.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and the related rules adopted by the SEC and the Public Company Accounting Oversight Board, our management is required to report on the effectiveness of our internal control over financial reporting. To maintain the effectiveness of our disclosure controls and procedures and our internal control over financial reporting, we expect that we will need to continue enhancing existing, and implement new, financial reporting and management systems, procedures and controls to manage our business effectively and support our growth in the future. The process of evaluating our internal control over financial reporting requires an investment of substantial time and resources, including by our Chief Financial Officer and other members of our senior management. As a result, this process may divert internal resources and take a significant amount of time and effort to complete. In addition, as we no longer qualify as an “emerging growth company” under the JOBS Act, our independent registered public accounting firm must attest to the effectiveness of our internal control over financial reporting under Section 404.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Shares eligible for future sale may adversely affect the market for our ordinary shares and the issuance of additional ordinary shares as a result of the exercise of our outstanding warrants and options will dilute the percentage ownership of our other shareholders.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certain of our shareholders are eligible to sell all or some of their ordinary shares by means of ordinary brokerage transactions in the open market pursuant to Rule 144, promulgated under the Securities Act, subject to certain limitations. In general, pursuant to Rule 144, non-affiliate shareholders may sell freely after six months subject only to the current public information requirement (which disappears after one year). Of the 55,150,345 ordinary shares outstanding as of March 31, 2023, approximately 48,104,948 ordinary shares have been registered under the Securities Act and are freely transferable by persons other than our “affiliates” without restriction or additional registration; the remaining shares outstanding have not been registered under the Securities Act and may be offered or sold only pursuant to an effective registration statement or pursuant to an available exemption from the registration requirements. As of March 31, 2023, approximately 49,894,460 of our ordinary shares are held by “non-affiliates” and are freely tradable without restriction pursuant to Rule 144. In addition, a certain shareholder has the ability to cause us to register the resale of its shares issuable upon exercise of certain warrants under the Registration Rights Agreement (as defined below). See “Item 10. Additional Information—C. Material Contracts” for a description of the registration rights. Any substantial sale of our ordinary shares pursuant to Rule 144 or pursuant to any resale prospectus may have a material adverse effect on the market price of our ordinary shares.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as of March 31, 2023, there were two outstanding warrants to purchase a total of 2,312,443 ordinary shares, with exercise prices ranging from $18.00 per share to $20.87 per share. As of March 31, 2023, there were 4,993,803 ordinary shares issuable upon the exercise of options to purchase ordinary shares outstanding under our 2019 Equity Incentive Plan (as defined below), at a weighted average exercise price of $13.18 per share, and 1,523,424 additional ordinary shares reserved for future issuance under our 2019 Equity Incentive Plan. The warrants are exercisable immediately and expire on various dates. More convertible securities may be granted in the future to the Company’s officers, directors, employees or consultants or as part of future financings. The exercise of outstanding options and warrants will dilute the percentage ownership of the Company’s other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purchase price of the ordinary shares may not reflect our actual value.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price of our ordinary shares may not be indicative of our actual value or any future market price for our securities. This price may not accurately reflect the value of the ordinary shares or the value that potential investors will realize upon their disposition of ordinary shares. The price does not necessarily bear any relationship to our assets, earnings, book value per share or other generally accepted criteria of value.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equity research analysts discontinue research or reports about us or our business or if they issue unfavorable commentary or downgrade our ordinary shares, or if other market participants such as short sellers issue unfavorable reports about us, the price of our ordinary shares could decline.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relies in part on the research and reports that equity research analysts publish about us and our business. The analysts’ estimates are based upon their own opinions and are often different from our estimates or expectations. If our results of operations are below the estimates or expectations of public market analysts and investors, the price of our ordinary shares could decline. Moreover, the price of our ordinary shares could decline if one or more securities analysts downgrade our ordinary shares or if those analysts issue other unfavorable commentary or cease publishing reports about us or our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management conducted an evaluation of the effectiveness of our internal control over financial reporting and concluded that our internal control over financial reporting was not effective as of December 31, 2022. 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ordinary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Our management is required to assess the effectiveness of our internal controls and procedures and disclose changes in these controls on an annual basis and our independent registered public accounting firm is required to attest to the effectiveness of our internal controls over financial reporting pursuant to Section 404.</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ordinary shares.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conducted an evaluation of the effectiveness of our internal control over financial reporting and concluded that our internal control over financial reporting was not effective as of December 31, 2022 due to a lack of sufficient number of financial reporting personnel with an appropriate level of knowledge, experience and training commensurate with our financial reporting requirements, as described in Item 15, “Controls and Procedures” of this annual report. As defined in Regulation 12b-2 under the Exchange Act, a “material weakness” is a deficiency, or combination of deficiencies, in internal control over financial reporting, such that there is a reasonable possibility that a material misstatement of our annual financial statements will not be prevented, or detected on a timely basis.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management has continued the process of remediating the material weaknesses, as described in Item 15, “Controls and Procedures,” if significant deficiencies or other material weaknesses are identified in our internal control over financial reporting that we cannot remediate in a timely manner, investors and others may lose confidence in the reliability of our financial statements and the trading price of our shares and ability to obtain any necessary equity or debt financing could suffer. The material weaknesses will not be considered remediated until we have completed implementing the necessary controls.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made, and will continue to make, changes in these and other areas. In any event, the process of determining whether our existing internal controls are compliant with Section 404 and sufficiently effective will require the investment of substantial time and resources, including by our chief financial officer and other members of our senior management. As a result, this process may divert internal resources and take a significant amount of time and effort to complete. In addition, we cannot predict the outcome of this process and whether we will need to implement remedial actions in order to implement effective controls over financial reporting. The determination of whether or not our internal controls are sufficient and any remedial actions required could result in us incurring additional costs that we did not anticipate, including the hiring of outside consultants. We may also fail to complete our evaluation, testing and any required remediation needed to comply with Section 404 in a timely fashion. Irrespective of compliance with Section 404, any additional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or results of operations and could result in an adverse opinion on internal controls from our independent auditors.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if we are unable to certify that our internal control over financial reporting is effective and in compliance with Section 404, we may be subject to sanctions or investigations by regulatory authorities, such as the SEC or stock exchanges, and we could lose investor confidence in the accuracy and completeness of our financial reports, which could hurt our business, the price of our ordinary shares and our ability to access the capital markets.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likely that we will be classified as a passive foreign investment company (“PFIC”) for U.S. federal income tax purposes for our taxable year ended December 31, 2022, and possibly for the current taxable year and future taxable years, which could result in adverse U.S. federal income tax consequences to U.S. Holders of our ordinary shares.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non-U.S. corporation will be a PFIC for any taxable year if either (1) at least 75% of its gross income for such year consists of certain types of passive income; or (2) at least 50% of the value of its assets (generally determined based on an average of the quarterly values of the assets) during such year is attributable to assets that produce passive income or are held for the production of passive income. For this purpose, cash and assets readily convertible into cash are categorized as passive assets and our goodwill and other unbooked intangibles will generally be taken into account in determining our asset value.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non-U.S. corporation’s PFIC status is a factual determination made annually after the close of each taxable year. Because the PFIC income test described above is based on a non-U.S. corporation’s gross income and not its net income, a non-U.S. corporation in the early stages of its business, such as our company, can be treated as a PFIC in those taxable years before it has sufficient operating revenue as a result of earning any amount of interest or other passive income. As a result, we believe that we will technically be classified as a PFIC for the taxable year ended December 31, 2022. Depending upon the composition of our income and assets and the market price of our ordinary shares during 2023 and subsequent taxable years and whether we start generating a substantial amount of active revenue, we could continue to be classified as a PFIC for 2023 and subsequent taxable years if we are classified as a PFIC for 2022. In addition, it is possible that any subsidiary that we own would also be classified as a PFIC for such taxable years.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were classified as a PFIC for any taxable year during which a U.S. Holder (as defined below) holds our ordinary shares, certain adverse U.S. federal income tax consequences could apply to such U.S. Holder. See “Item 10. Additional Information—E. Taxation—U.S. Federal Income Tax Considerations.”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in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in Israel could materially and adversely affect 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executive offices are located in Neve Ilan, Israel. In addition, a number of our officers and directors are residents of Israel. Accordingly, political, economic and military conditions in Israel and the surrounding region may directly affect our business and operations. Since the establishment of the State of Israel in 1948, a number of armed conflicts have taken place between Israel and its neighboring countries, as well as terrorist acts committed within Israel by hostile elements. In recent years, Israel has been engaged in sporadic armed conflicts with Hamas, an Islamist terrorist group that controls the Gaza Strip, with Hezbollah, an Islamist terrorist group that controls large portions of southern Lebanon, and with Iranian-backed military forces in Syria. Some of these hostilities were accompanied by missiles being fired from the Gaza Strip against civilian targets in various parts of Israel, and negatively affected business conditions in Israel. In addition, Iran has threatened to attack Israel, may be developing nuclear weapons and has targeted cyber-attacks against Israeli entities. Iran also has a strong influence among extremist groups in the region, including Hamas in Gaza, Hezbollah in Lebanon and various rebel militia groups in neighboring countries. Any hostilities involving Israel or the interruption or curtailment of trade between Israel and its trading partners could adversely affect our operations and results of operations. Any armed conflicts, terrorist activities or political instability in the region could adversely affect business conditions and could harm our results of operations and could make it more difficult for us to raise capital.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do not, and we do not expect to, carry any commercial insurance that covers losses resulting from events associated with war and terrorism. Although the Israeli government currently covers the reinstatement value of direct damages that are caused by terrorist attacks or acts of war, we cannot be assured that this government coverage will be maintained or, if maintained, that it will be sufficient to compensate us fully for damages incurred and the government may cease providing such coverage or the coverage might not suffice to cover potential damages. Any losses or damages incurred by us could have a material adverse effect on our business. Any armed conflicts or political instability in the region would likely negatively affect business conditions and could harm our results of operations.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the Israeli government has recently been pursuing legislation, which if adopted, would result in changes to Israel’s judicial system. This has prompted protests in Israel and triggered a considerable political debate. In response to the foregoing developments, individuals, organizations and institutions, both within and outside of Israel, have voiced concerns that the proposed changes and the public response and political debate may negatively impact the business environment in Israel, including due to reluctance of foreign investors to invest or conduct business in Israel, as well as to increased currency fluctuations, downgrades in credit rating, increased interest rates, increased volatility in securities markets and other changes in macroeconomic conditions. Such proposed changes may also adversely affect the labor market in Israel or lead to political instability or civil unrest. To the extent that any of these negative developments occur, they may have an adverse effect on our business, our results of operations and our ability to raise additional funds.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many Israeli citizens are obligated to perform several days, and in some cases more, of annual military reserve duty each year until they reach the age of 40 (or older for certain reservists) and, in the event of a military conflict, may be called to active duty. In response to increases in terrorist activity, there have been periods of significant call-ups of military reservists. It is possible that there will be military reserve duty call-ups in the future. Our operations could be disrupted by such call-ups, which may include the call-up of members of our management. Such disruption could materially adversely affect our business, prospects,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termination or reduction of tax and other incentives that the Israeli government provides to Israeli companies may increase our costs and taxes.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Israeli government currently provides tax and capital investment incentives to Israeli companies, as well as grant and loan programs relating to research and development and marketing and export activities (see “Item 10. Additional Information—E. Taxation—Israeli Tax Considerations and Government Programs”). In recent years, the Israeli government has reduced the benefits available under these programs and the Israeli governmental authorities may in the future further reduce or eliminate the benefits of these programs. We may take advantage of these benefits and programs in the future; however, there can be no assurance that such benefits and programs will be available to us. If we qualify for such benefits and programs and fail to meet the conditions thereof, the benefits could be canceled and we could be required to refund any benefits we might already have enjoyed and become subject to penalties. Additionally, if we qualify for such benefits and programs and they are subsequently terminated or reduced, it could have an adverse effect on our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U.S. judgment against us, our officers and directors named in this annual report on Form 20-F in Israel or the United States, or to assert U.S. securities laws claims in Israel or serve process on our officers and directors.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incorporated in Israel. Many of our directors and officers are not residents of the United States and a significant portion of their and our assets are located outside the United States. Service of process upon us or our non-U.S. resident directors and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directors and officers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Additionally, Israeli courts might not enforce judgments obtained in the United States against us or our directors and officers, which may make it difficult to collect on judgments rendered against us or our directors and officers.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rights and responsibilities as our shareholder will be governed by Israeli law, which may differ in some respects from the rights and responsibilities of shareholders of U.S. corporations.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incorporated under Israeli law. The rights and responsibilities of holders of our ordinary shares are governed by our amended and restated articles of association and the Companies Law. These rights and responsibilities differ in some respects from the rights and responsibilities of shareholders in typical U.S. corporations. In particular, pursuant to the Companies Law, each shareholder of an Israeli company has to act in good faith and in a customary manner in exercising his or her rights and fulfilling his or her obligations toward the company and other shareholders and to refrain from abusing his or her power in the company, including, among other things, in voting at the general meeting of shareholders on amendments to a company’s articles of association, increases in a company’s authorized share capital, mergers and certain transactions requiring shareholders’ approval under the Companies Law. In addition, under Israeli law, a controlling shareholder of an Israeli company or a shareholder who knows that it possesses the power to determine the outcome of a shareholder vote or who has the power to appoint or prevent the appointment of a director or officer in the company or has other powers toward the company has a duty of fairness toward the company. However, Israeli law does not define the substance of this duty of fairness. There is little case law available in Israel to assist in understanding the implications of these provisions that govern shareholder behavior.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articles of association contains exclusive forum provisions for certain claims, which could limit our shareholders’ ability to obtain a favorable judicial forum for disputes with us or our directors, officers or employees.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amended and restated articles of association provides that the federal district courts of the United States of America will, to the fullest extent permitted by law, be the exclusive forum for resolving any complaint asserting a cause of action arising under the Securities Act (the “Federal Forum Provision”). Our decision to adopt a Federal Forum Provision followed a decision by the Supreme Court of the State of Delaware holding that such provisions are facially valid under Delaware law. While there can be no assurance that U.S. federal or state courts or Israeli courts will follow the holding of the Delaware Supreme Court or determine that the Federal Forum Provision should be enforced in a particular case, application of the Federal Forum Provision means that suits brought by our shareholders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the Federal Forum Provision does not apply to suits brought to enforce any duty or liability created by the Exchange Act. Accordingly, actions by our shareholders to enforce any duty or liability created by the Exchange Act or the rules and regulations thereunder must also be brought in federal court. Our shareholders will not be deemed to have waived our compliance with the federal securities laws and the regulations promulgated thereunder.</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the Federal Forum Provision. This provision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Federal Forum Provision contained in our amended and restated articles of association to be inapplicable or unenforceable in an action, we may incur additional costs associated with resolving such action in other jurisdictions, which could harm our business, operating results and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amended and restated articles of association and Israeli law and tax considerations may delay, prevent or make difficult an acquisition of us, which could prevent a change of control and negatively affect the price of our ordinary shares.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Israeli corporate law regulates mergers, requires tender offers for acquisitions of shares if such acquisitions cause the acquirer to hold more than specified thresholds, requires special approvals for certain transactions involving directors, officers or significant shareholders and regulates other matters that may be relevant to these types of transactions. For example, under Israeli law, a merger may not be consummated unless at least 50 days have passed from the date that a merger proposal was filed by each merging company with the Israel Registrar of Companies and at least 30 days have passed from the date that the shareholders of both merging companies approved the merger.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Israeli tax considerations may make potential transactions unappealing to us or to our shareholders, such as for those shareholders whose country of residence for tax purposes does not have a tax treaty with Israel which exempts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 In order to benefit from the tax deferral, a pre-ruling from the Israel Tax Authority may be required.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provisions of Israeli law and Israeli tax laws may delay, prevent or make difficult a merger with, or an acquisition of us, or all or a significant portion of our assets, which could prevent a change of control and may make it more difficult for a third party to acquire us, even if doing so would be beneficial to our shareholders. These provisions may limit the price that investors may be willing to pay in the future for our ordinary shares and therefore depress the price of our shares.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amended and restated articles of association provide that our directors (other than external directors) are elected on a staggered basis, such that a potential acquirer cannot readily replace our entire board of directors at a single annual general shareholder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Information on the Company</w:t>
      </w:r>
    </w:p>
    <w:p>
      <w:pPr>
        <w:spacing w:after="0" w:line="225" w:lineRule="exact"/>
        <w:rPr>
          <w:sz w:val="20"/>
          <w:szCs w:val="20"/>
          <w:color w:val="auto"/>
        </w:rPr>
      </w:pPr>
    </w:p>
    <w:p>
      <w:pPr>
        <w:ind w:left="740" w:hanging="368"/>
        <w:spacing w:after="0"/>
        <w:tabs>
          <w:tab w:leader="none" w:pos="7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NANO-X IMAGING LTD was incorporated under the laws of the State of Israel on December 20, 2018 and commenced operations on September 3, 2019.</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Substantially all of our assets at the time of commencement of our operations were acquired or assigned (the “Asset Purchase”) from our predecessor company, Nanox Imaging PLC (“Nanox Gibraltar”), a Gibraltar public company, under an Asset Purchase Agreement, dated as of September 3, 2019 and as amended on December 3, 2019 and December 31, 2019, between Nanox Gibraltar and us. Pursuant to the Asset Purchase Agreement, substantially all of the assets of Nanox Gibraltar, including all patents, patent applications and all other intellectual property rights, but not including the shares of Nanox Japan, Inc., a wholly owned subsidiary of Nanox Gibraltar (“Nanox Japan (predecessor)”), were sold to the Company for an aggregate consideration of $13.3 million, reflecting the fair market value of the transferred assets, which was estimated to be $6.1 million (excluding cash) based on an independent valuation report, plus the cash balance less $200,000, which cash amount totaled $7.2 million as of the date of the Asset Purchase Agreement.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2020, the board of directors of the Company and the board of directors and shareholders of Nanox Gibraltar approved the issuance of shares in accordance with the terms of the Asset Purchase Agreement described above. As a result, 1,109,245 of the Company’s ordinary shares were issued to Nanox Gibraltar, representing an aggregate consideration of approximately $17.8 million, and the Company has no further obligations to Nanox Gibraltar under the Asset Purchase Agreement.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 2021, the Company completed the acquisition of 100% of the shares of USARAD Holdings, Inc., a Delaware corporation (“USARAD”), pursuant to the terms of the Stock Purchase Agreement, dated October 25, 2021 (the “USARAD SPA”), among the Company, USARAD, Dr. Michael Yuz, other holders of capital stock of USARAD and holders of USARAD options. USARAD is a U.S.-based teleradiology company with over 116 U.S. certified radiologists in its network. At closing, the Company (through a wholly-owned subsidiary) purchased 100% of the shares of USARAD on a fully diluted basis for $7,300,000 in cash and 496,545 ordinary shares. In addition, upon the successful achievement of certain milestones related to profitability, EBITDA and other operational performance metrics, the Company undertook to pay additional cash consideration in the amount of up to $2,000,000 and stock consideration in the amount of up to $6,500,000 at a per share value determined by the average of: (i) the volume weighted average closing share price of the 30 trading days prior to the relevant milestone completion, and (ii) the volume weighted average closing share price of the 30 trading days ending on August 6, 2021.</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28, 2023, the Company and Dr. Michael Yuz, as the representative of the former stockholders of USARAD, entered into the first amendment to the USARAD SPA, according to which the parties to the USARAD SPA agreed that (i) the Company shall pay to the former stockholders of USARAD an aggregate amount of $290,063 in cash and 45,392 ordinary shares, in consideration for the achievement of certain milestones in connection with the first earn out period, as defined in and in accordance with the USARAD SPA; and (ii) the rights and obligations under the USARAD SPA regarding the remaining earn out periods were amended such that the parties agreed that the Company shall pay to the former stockholders of USARAD an aggregate amount of $500,000 in cash and 210,000 ordinary shares as consideration for the remainder of the milestones and applicable earn-outs under the USARAD SPA. As a result of the amendment to the USARAD SPA, obligations of the Company and the rights of the former stockholders of USARAD relating to the purchase price (including the earn-outs) under the USARAD SPA have been satisfied in full.</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3, 2021, the Company completed the acquisition of the platform and other assets of MDWEB, pursuant to the terms of the Asset Purchase Agreement, dated October 21, 2021, between the Company and MDWEB, a USARAD-related company. Pursuant to the acquisition, we acquired the MDW platform, now known as the Nanox.MARKETPLACE, a decentralized marketplace connecting imaging facilities with radiologists. At closing, the Company issued 64,715 ordinary shares to MDWEB. In addition, upon the successful achievement of certain milestones related to technical integration of the Nanox.MARKETPLACE with the Nanox.CLOUD and achieving certain other operational targets, the Company undertook to pay additional stock consideration in the amount of up to $1,500,000 at a per share value determined by the average of: (i) closing price of the 30 trading days ending on the applicable milestone’s achievement date: and (ii) the volume weighted average closing share price of the 30 trading days prior to the closing date.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4, 2021, the Company consummated its purchase of 100% of the equity of Zebra Medical Vision Ltd., an Israeli company (“Zebra”) pursuant to the terms of the Agreement and Plan of Merger, dated August 9, 2021, as amended (the “Zebra Merger Agreement”), among the Company, Zebra and Perryllion Ltd., as representative of Zebra’s equity holders. Zebra, now known as Nanox AI, is a leading medical AI developer, with eight FDA-cleared and 11 CE-marked AI solutions for medical imaging. At closing, the Company issued 3,249,142 ordinary shares of the Company and committed to issue 70,211 employee options to the equity holders of Zebra, which represented (a) the basic purchase price of $100,000,000; minus (b) certain transaction costs; plus (c) deferred closing consideration in the amount of $3,333,333 as a result of Zebra entering into a designated commercial agreement prior to closing; plus (d) $6,300,000 as a result of Zebra achieving a designated milestone of obtaining a new FDA clearance for its population health product. All shares, except for the shares issued for the designated milestone, were issued at a deemed per share value of $33.18 and the shares issued for the designated milestone were issued at a per share value of $25.01. In addition, according to the terms of the Zebra Merger Agreement, under certain circumstances, the Company was obligated to issue additional ordinary shares as deferred closing consideration and certain milestone consideration (should such be achieved) representing an aggregate amount of up to $100,000,000 within three years following the closing. An aggregate of $9,633,333 of such consideration was paid at closing as described above. In addition, on January 19, 2022, we issued 89,286 additional ordinary shares to the former shareholders of Nanox AI due to partial achievement of a milestone that occurred post-closing. On December 29, 2022, the parties entered into a settlement with respect to any additional amount that could be granted under the Zebra Merger Agreement, according to which the Company issued Nanox AI’s former shareholders an additional 2,648,424 ordinary shares. As a result of the settlement, both parties’ performance obligations under the agreement have been satisfied in full.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53" w:name="page54"/>
    <w:bookmarkEnd w:id="5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Communications Center, Neve Ilan, Israel 9085000, and our telephone number is +972 02 5360360. Our website address is </w:t>
      </w:r>
      <w:r>
        <w:rPr>
          <w:rFonts w:ascii="Times New Roman" w:cs="Times New Roman" w:eastAsia="Times New Roman" w:hAnsi="Times New Roman"/>
          <w:sz w:val="18"/>
          <w:szCs w:val="18"/>
          <w:u w:val="single" w:color="auto"/>
          <w:color w:val="auto"/>
        </w:rPr>
        <w:t>http://www.nanox.vision</w:t>
      </w:r>
      <w:r>
        <w:rPr>
          <w:rFonts w:ascii="Times New Roman" w:cs="Times New Roman" w:eastAsia="Times New Roman" w:hAnsi="Times New Roman"/>
          <w:sz w:val="18"/>
          <w:szCs w:val="18"/>
          <w:color w:val="auto"/>
        </w:rPr>
        <w:t>. The information contained therein or connected thereto shall not be deemed to be incorporated into this annual report on Form 20-F. Our agent for service of process in the United States is CT Corporation System.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2020, we completed our initial public offering of 10,555,556 ordinary shares at a public offering price of $18 per share, including 1,376,812 additional ordinary shares purchased by the underwriters at the public offering price, less the underwriting discount, pursuant to the exercise in full of their option to purchase additional ordinary shares. Our ordinary shares are listed on the NASDAQ Global Market under the symbol “NNOX.”</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10, 2021, certain of our shareholders sold an aggregate of 3,091,635 ordinary shares in a public offering pursuant to an Underwriting Agreement by and among us, Cantor Fitzgerald &amp; Co., acting as representative of the underwriters, and the selling shareholders named therein (the “Selling Shareholders”). We did not receive any of the proceeds from the sale of ordinary shares offered by the Selling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Early detection saves lives—and we at Nanox are focused on applying our proprietary medical imaging technology and solutions to make diagnostic medicine more accessible and affordable across the globe. We are developing an end-to-end imaging service solution, which includes the Nanox System, comprised of the Nanox.ARC using our novel MEMs X-ray source technology, and the Nanox.CLOUD, a companion cloud software, integrated with AI solutions and teleradiology services. Our vision is to increase early detection of medical conditions that are discoverable by X-ray by improving access to imaging, reducing imaging costs and enhancing imaging efficiency, which we believe is key to increasing early prevention and treatment, improving health outcomes and, ultimately, saving lives.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imaging solution is designed as a modular open system, and we intend in the future to explore the expansion of the solution to include additional components, which may be developed by us or third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holistic imaging solution is currently comprised of the following four principal components:</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Nanox System</w:t>
      </w:r>
      <w:r>
        <w:rPr>
          <w:rFonts w:ascii="Times New Roman" w:cs="Times New Roman" w:eastAsia="Times New Roman" w:hAnsi="Times New Roman"/>
          <w:sz w:val="18"/>
          <w:szCs w:val="18"/>
          <w:color w:val="auto"/>
        </w:rPr>
        <w:t>. As a first step to producing a new class of accessible and affordable medical imaging systems, we focused on identifying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developing a novel digital X-ray source, which we refer to as the Nanox.SOURCE. Our X-ray source is based on a novel digital MEMs semiconductor cathode that we believe can achieve the same functionalities as legacy X-ray analog cathodes, while allowing for lower-cost production than existing medical imaging systems. We have been developing this technology over ten years towards the goal of commercial applicability. This novel digital X-ray source is the basis of core technology in the imaging system we are developing, and we believe it also has the potential to replace the legacy X-ray source in other existing imaging systems. Our technology aims to disrupt medical imaging by providing accessibility and affordability on a global scale. Our goal is to enable medical institutions and other significant medical players to either employ our solutions as a closed end-to-end system or to adopt a modular approach to our technologies, by acquiring or licensing our different components and integrating our technologies into their specific product.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Nanox System includes two integrated components—hardware (Nanox.ARC), a medical imaging system incorporating our novel digital X-ray source, and software (Nanox.CLOUD). We developed, and continue to improve, the multi-source Nanox.ARC, a 3D tomosynthesis imaging system, which received a 510(k) clearance from the FDA and remains subject to regulatory clearance and approval in other jurisdictions. Tomosynthesis is an imaging technique used for early detection, that is designed to produce a high-resolution, 3D, X-ray image reconstruction of the scanned human body part for review by a professional diagnostics expert. In parallel, we have developed, and continue to improve, the Nanox.CLOUD, a companion cloud-based software to which scanned images may be securely uploaded to the cloud system. By integrating the Nanox.CLOUD with the Nanox.ARC, we believe the Nanox System could provide a streamlined process and end-to-end medical imaging service, including services such as image repository, radiologist matching, online and offline diagnostics review and annotation, connectivity to diagnostic assistive AI systems, billing, monitoring and reporting.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receipt of clearance from the FDA, and if cleared by similar regulatory agencies in other jurisdictions, we plan to market and deploy the Nanox System globally at a substantially lower cost than currently available medical imaging systems, such as legacy X-ray and Computerized Tomography (“CT”) systems, because our digital X-ray source will allow the Nanox.ARC to have a simpler structure without the costly cooling equipment used in legacy X-ray systems or the complex rotating mechanism used in CT devices. See “—Our Technology—The Nanox System.” We believe that the Nanox System could increase the accessibility and affordability of early-detection medical imaging systems worldwide, substantially reduce wait-times for imaging results and increase early detection rates compared to currently employed imaging process protocol.</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continue to implement a multi-step approach to the regulatory clearance process for the Nanox System. On April 1, 2021, we received clearance from the FDA to market our Nanox Cart X-Ray System, a single-source version of the Nanox.ARC. On June 17, 2021, we submitted a 510(k) premarket notification application to the FDA for the first version of our multi-source Nanox.ARC 3D digital tomosynthesis system. On August 12, 2021, we received a request for additional information from the FDA concerning the first submission of our multi-source system. On January 10, 2022, we withdrew our first submission of our multi-source system. On January 12, 2022, we submitted to the FDA a Q-submission for the second version of our multi-source Nanox.ARC 3D digital tomosynthesis system. The second version of the Nanox.ARC is an improved and enhanced version that was designed, among other things, to address certain deficiencies raised by the FDA during their review of the first submission from June 2021. On September 26, 2022, we submitted a 510(k) premarket notification to the FDA as part of our 510(k) application process for the second version of our multi-source Nanox.ARC 3D digital tomosynthesis system (including the Nanox.CLOUD). On April 28, 2023, we received a 510(k) clearance from the FDA to market the Nanox.ARC (including the Nanox.CLOUD) as a stationary ‎X-ray ‎system ‎intended to produce tomographic images of the human musculoskeletal system</w:t>
      </w:r>
    </w:p>
    <w:p>
      <w:pPr>
        <w:spacing w:after="0" w:line="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adjunctive to conventional radiography, on adult patients. This device is intended‎ to be used in professional healthcare facilities‎ or radiological‎ environments, such as ‎hospitals, clinics, imaging ‎centers and ‎other medical practices‎by trained radiographers, ‎radiologists and physicists.</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receipt of clearance from the FDA, and if authorized by similar regulatory agencies in other jurisdictions, our goal is to finalize deployment of the initial 15,000 Nanox System units within three years following receipt of FDA clearance for our multi-source Nanox.ARC (including the Nanox.CLOUD). We have started to ship several units of the Nanox System for purposes of collecting clinical sample images, obtaining regulatory approvals and demonstrations and training. See “Item 3. Key Information—D. Risk Factors—Products utilizing our technology may need to be approved or cleared by the FDA and similar regulatory agencies worldwide. We may not receive, or may be delayed in receiving, the necessary approval or clearance for our future products, which would adversely affect business, financial condition, results of operations and prospects.”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also initiated the process to obtain CE marking for the marketing and sale of our Nanox.ARC (including the Nanox.CLOUD) in the European Union. We have engaged with a Notified Body and intend to submit requisite technical and other documentation during the coming months.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expect that the Nanox System will enable us to accumulate a significant number of medical images, which have the potential to be used by collaborators, such as medical AI-analytics companies, through machine learning algorithms to increase the probability of early disease detection.</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Nanox.MARKETPLACE. </w:t>
      </w:r>
      <w:r>
        <w:rPr>
          <w:rFonts w:ascii="Times New Roman" w:cs="Times New Roman" w:eastAsia="Times New Roman" w:hAnsi="Times New Roman"/>
          <w:sz w:val="18"/>
          <w:szCs w:val="18"/>
          <w:color w:val="auto"/>
        </w:rPr>
        <w:t>Nanox.MARKETPLACE (formerly known as the MDW platform), which we acquired from MDWEB in November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is our proprietary decentralized marketplace that connects imaging facilities with radiologists and enables radiologists to provide, and customers to obtain, remote interpretations of imaging data. The platform was designed by radiologists for the imaging industry. The radiologists connecting to Nanox.MARKETPLACE include those radiologists who are part of our network and provide teleradiology services through USARAD, as well as other radiologists, all of whom undergo an accreditation process that we perform and are required to be certified by the American Board of Radiology. Based primarily on customer location and area of specialization, radiologists will be matched to conduct the imaging interpretation. The radiologist receives payment through the platform from the customer upon the delivery of the imaging interpretation. The Nanox.MARKETPLACE service is currently offered on a standalone basis. In the future, we plan to incorporate the Nanox.MARKETPLACE into the Nanox System, such that images that were generated by the Nanox.ARC and uploaded to the Nanox.CLOUD, can be streamlined and referred through the Nanox.MARKETPLACE to radiologists for remote reading.</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AI Imaging Solutions</w:t>
      </w:r>
      <w:r>
        <w:rPr>
          <w:rFonts w:ascii="Times New Roman" w:cs="Times New Roman" w:eastAsia="Times New Roman" w:hAnsi="Times New Roman"/>
          <w:sz w:val="18"/>
          <w:szCs w:val="18"/>
          <w:color w:val="auto"/>
        </w:rPr>
        <w:t>. Following our acquisition of Zebra, renamed Nanox AI, in November 2021, we offer FDA cleared AI-based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imaging solutions to hospitals, health maintenance organizations (“HMOs”), integrated delivery networks (“IDNs”), pharmaceutical companies, marketplaces and insurers, that are designed to identify or predict undiagnosed or underdiagnosed medical conditions, through the mining of data of existing CT scans. We currently offer AI imaging population health solutions aimed at identifying underlying findings, which are correlated to osteoporosis and cardiovascular disease. In addition, we are currently in advanced stages of developing a product for fatty liver to help detect patients at risk for more advanced liver disease, such as non-alcoholic liver steatosis (“NASH”). With our AI imaging population health solutions, we aim to further our mission to enable preventative healthcare through early detection. We also continue to maintain certain legacy contracts for AI imaging triage solutions.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since the acquisition and completion of integration with Nanox AI, we have begun to develop AI-based features to enhance the images generated by the Nanox.ARC, with the goal of improving diagnostic capabilities for the Nanox.ARC in chest and musculoskeletal imaging. Ultimately, we expect to integrate these AI imaging capabilities, which we refer to as Robodiology, into the Nanox System. Subject to completion of the development and receipt of requisite regulatory approvals, we plan to offer these AI imaging solutions as an optional service to our MSaaS partners.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Teleradiology Services</w:t>
      </w:r>
      <w:r>
        <w:rPr>
          <w:rFonts w:ascii="Times New Roman" w:cs="Times New Roman" w:eastAsia="Times New Roman" w:hAnsi="Times New Roman"/>
          <w:sz w:val="18"/>
          <w:szCs w:val="18"/>
          <w:color w:val="auto"/>
        </w:rPr>
        <w:t>. Following our acquisition of USARAD in November 2021, we offer teleradiology services to customers in the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and an additional seven countries by U.S.-based radiologists, certified by the American Board of Radiology. We offer imaging interpretation services for radiology practices, hospitals, medical clinics, diagnostic imaging centers, urgent care facilities and multi-specialty physician groups and USARAD contracts directly with these customers. In addition, we provide second opinion radiology readings, primarily to imaging centers. We have a network of over 116 independent radiologists in our marketplace, all of whom have undergone an accreditation process by us, and we provide our teleradiology services to approximately 187 customers representing approximately 241 facilities. We allocate images that we receive from our customers, through our picture archiving and documentation system, to radiologists in our network based on the radiologist’s area of specialization. Payment is made by the customer directly to us monthly based on the number of monthly readings and we pay the radiologist a predetermined fixed fee per reading.</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Currently, our teleradiology services are offered as a standalone product through USARAD. In the future, we plan to incorporate our teleradiology services as part of our Nanox System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Current Medical Imaging Solutions and Our Market Opportunity</w:t>
      </w:r>
    </w:p>
    <w:p>
      <w:pPr>
        <w:spacing w:after="0" w:line="22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The main categories of current medical imaging systems that use X-ray sources include legacy X-ray systems, CT, mammography, fluoroscopy and angiogram. The analog X-ray source used by these systems produces X-rays by accelerating electrons to high energies, causing them to hit a metal target from which the X-rays are emitted. This requires a significant amount of electrical energy to be transferred to the X-ray tube. Due to the heat generated by this process, one of the most complex mechanical challenges is cooling the analog X-ray source. In addition, for CTs, the mechanical structure is even more complex because the analog X-ray source needs to rotate in a heavy gantry at high speed. We believe these are key factors leading to the high cost and complexity of existing medical imaging systems, which in turn significantly limits the availability of medical imaging for early detection globally.</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a report from the Pan American Health Organization and World Health Organization (“WHO”) in 2012, approximately two-thirds of the world population did not have access to medical imaging. Further, many people with access to medical imaging face substantial wait times for scanning. For example, in Canada, access to medical imaging procedures is a growing problem with months of reported wait times for MRI and CT screening. Long wait times not only negatively impact patient outcomes but also add significant costs to the Canadian healthcare system each year due to delays in detection and treatment. Wait times for a CT scan can be longer than six weeks in Scotland, over 12 months in Ireland, and in the UK, tens of thousands of suspected cancer patients face month-long wait times to discover whether they have a particular illness due to delays in analyzing scans and X-rays.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most market participants, including medical imaging manufacturing companies, medical imaging providers and radiologists, among others, have not provided the same level of end-to-end medical imaging services. One of the reasons is that the scanning process is currently not integrated with the diagnostics process, which contributes to extended wait times for image diagnostics by experts.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a report of Fortune Business Insights from January 2022, the global medical imaging market size was $36.19 billion in 2020, and the market is expected to grow from $37.97 billion in 2021 to $56.53 billion in 2028 at a CAGR of 5.8% in the 2021-2028 period. The X-ray equipment segment held a dominant market share in 2020, accounting for 33.9% of the global medical imaging market share in such period. Further, according to such report, increasing use of advanced AI-enabled diagnostic equipment for the rapid diagnosis and predictive analysis in developed countries is one of the major factors anticipated to contribute to the rising product demand during the forecast period. Currently, only a handful of players operating in the market are providing AI-enabled imaging technologies to the healthcare industry.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Nanox Ecosystem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Nanox System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developed, and continue to improve, the Nanox System, which has two integrated components — hardware (Nanox.ARC) and software (Nanox.CLOUD). The Nanox.ARC, a 3D tomosynthesis imaging system, is designed to integrate our proprietary and novel digital X-ray source, known as Nanox.SOURCE. Our X-ray source is based on a novel digital MEMs semiconductor cathode that we believe can achieve the same functionalities as legacy X-ray analog cathodes, while allowing for lower-cost production than existing medical imaging systems. We have been developing this technology over ten years towards the goal of commercial applicability.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technology aims to disrupt the medical imaging market by providing accessibility and affordability on a global scale. Our goal is to enable medical institutions and other significant medical players to either employ our solutions as a closed end-to-end system or to adopt a modular approach to our technologies, by acquiring or licensing our different components and integrating our technologies into their specific product.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Legacy Analog X-ray Source and Limitations of Existing Medical Imaging Systems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X-ray tube technology has essentially remained unchanged since its inception in 1895. For any type of imaging system to generate X-rays, the system must use X-ray tubes as a source for the X-rays. The X-ray tube converts electrical power into X-rays by accelerating electrons to high energies, causing them to hit a metal target from which the X-rays are emitted. X-rays can only be produced if the X-ray tube is energized, which has historically required a significant amount of electrical energy to be transferred to the X-ray tube. However, only a small amount of the energy deposited into the X-ray tube is actually converted into X-rays; the majority of the energy turns into heat. This is called a thermionic (heat-based) mode of operation where a metal filament needs to be heated up to approximately 2,000°C to generate the electron stream (a “cathode”) that will hit a metal target (an “anode”) to generate the photon-based X-ray stream resulting from that high-energy impact.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Heating the filament to approximately 2,000°C requires the mechanical cathode support systems to withstand high temperatures within a high vacuum, high voltage environment. Tungsten was introduced into the X-ray tube in 1903 for its properties of a high melting point and ductility. The tungsten filaments still used today are critical components of X-ray tubes, but they limit the lifetime of the X-ray tube due to the progressive evaporation of filament material under these high temperatures. At temperatures of up to 2,000°C, the filament evaporates in hot spots close to the peak temperature locations which over time can cause a catastrophic failure of the filament.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the use of the legacy analog X-ray source is one of the key factors for the high cost of existing medical imaging systems. The main categories of medical imaging systems that use X-ray sources include legacy X-ray systems, CT (3D cross-sectional 360° “slicing” X-ray imaging), mammography (2D and 3D breast X-ray imaging), fluoroscopy (real-time X-ray video imaging) and angiogram (blood vessels, contrast X-ray imaging). CT scanners, for example, are complex diagnostic imaging systems that use X-rays to take images of a patient’s internal structures and organs. Due to the limitations of the analog X-ray source described above, general radiographic X-ray tubes are not well suited for use in a CT scanner. CT scanners instead use a specialized X-ray tube designed to withstand the excessive amount of heat produced by continuous energization. This X-ray tube is located in the gantry, which is the largest part of a CT scanner and consists of the X-ray detectors, the mechanical supports and the scanner housing. Due to the heat generated by this process, one of the most complex mechanical challenges is cooling the analog X-ray source while rotating it in a heavy gantry at high-speed. One solution used is the rotating anode, where a tungsten metal disk rotates at high revolutions per minute so the electron beam hits a different spot on the disk on a continuous basis to prevent the concentration of heat in one spot on the disk and reduce the likelihood of overheating or burning. In addition, CT scanners require a long continuous exposure time to create 3D images of the patient’s body using multiple X-ray images, which means that the X-ray tube must be continually energized and that patients are continuously exposed to radiation throughout that period. As a result of these complexities, most high-quality X-ray tubes for a CT scanner weigh between approximately 50 and 100 kilograms with the cooling mechanism.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Novel Digital X-ray Source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Realizing that the X-ray tube technology has essentially not changed in more than 100 years and remains a significant source of complexity and cost-driver of existing X-ray-based medical imaging systems, we developed a novel digital X-ray source that we believe addresses these drawbacks and will enable a new class of medical imaging systems that can be produced at a significantly lower cost than the existing systems.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technology has its roots in field emission display (“FED”) technology. FED technology was originally developed by Sony with other technology partners, for television screens and monitors, offering a novel way of lighting screen pixels compared to traditional cathode-ray tubes that were based on a one-source electron gun beam. The field emission display innovation used multiple nano-scale electron guns to achieve a much higher quality image with significantly reduced motion blur effects. In 2009, after having invested substantial resources in the development of this technology for over a decade including through a joint venture called Field Emission Technologies, Inc. (“FET”), Sony ceased development of the project.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2009, FET dissolved and transferred certain assets to FET Japan Inc. (“FETJ”). Scientists on our team, who worked at FETJ, applied their expertise to develop non-display related applications, including our X-ray source technology. In 2011, our predecessor company acquired certain non-display related know-how from FETJ and certain members of the FETJ technical team joined us.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After acquiring the technology, we spent over eight years developing a digital X-ray source for the medical imaging industry that could be produced on a commercial scale. Our X-ray source is a MEMs-based semiconductor cathode that achieves electron emission by a non-thermionic low-voltage trigger to approximately 100 million nano-scale molybdenum cones that act as multiple electron “guns,” instead of a single heated filament. The cathode is housed in a customized X-ray tube.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color w:val="auto"/>
        </w:rPr>
        <w:t>We believe our X-ray source has the following technological advantages over the analog X-ray source:</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Reduced duration of radiation exposure</w:t>
      </w:r>
      <w:r>
        <w:rPr>
          <w:rFonts w:ascii="Times New Roman" w:cs="Times New Roman" w:eastAsia="Times New Roman" w:hAnsi="Times New Roman"/>
          <w:sz w:val="18"/>
          <w:szCs w:val="18"/>
          <w:color w:val="auto"/>
        </w:rPr>
        <w:t>. Our X-ray source uses a digital chip that is designed to provide better control and enables near-instantaneous on/off toggling of the electron beam. This source control also enables a precise “stop and start” operation, which we believe can potentially result in significantly reduced duration of radiation exposure compared to an analog X-ray source.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X-ray source KvP / mA decoupling. </w:t>
      </w:r>
      <w:r>
        <w:rPr>
          <w:rFonts w:ascii="Times New Roman" w:cs="Times New Roman" w:eastAsia="Times New Roman" w:hAnsi="Times New Roman"/>
          <w:sz w:val="18"/>
          <w:szCs w:val="18"/>
          <w:color w:val="auto"/>
        </w:rPr>
        <w:t>Our X-ray source is designed to create imaging using one X-ray source chip because there is complete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independence and separation between the strength of X-ray penetration and the amount of photons for illumination (referred to as “KvP / mA”). KvP represents the speed of electrons that gives the X-ray its penetrating power, and higher KvP means the X-rays can penetrate higher density materials such as bones. mA represents the amount of photons or brightness levels of the X-ray image. For legacy X-ray sources, KvP / mA ratios were codependent in a linear relationship and each X-ray source could only produce one set of KvP / mA combinations dedicated for a particular use (for example, either tissue images or bone images, but not both simultaneously). We believe our X-ray source technology can produce multi-spectral imaging from one X-ray source, which allows for variable energy levels to be controlled during one scan. Therefore, one source chip can be used for multiple types of scans, such as head-scans, abdomen, mammography and angiograms, involving both soft and hard tissues at variable densities, simultaneously. We believe this multi-spectral imaging could also be applied to real-time video imaging. Our latest working prototype uses up to 160 KvP / mA under lab conditions, and we intend to commercialize the multi-source Nanox.ARC with a range of 40 – 110 KvP / mA.</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Longer lifetime</w:t>
      </w:r>
      <w:r>
        <w:rPr>
          <w:rFonts w:ascii="Times New Roman" w:cs="Times New Roman" w:eastAsia="Times New Roman" w:hAnsi="Times New Roman"/>
          <w:sz w:val="18"/>
          <w:szCs w:val="18"/>
          <w:color w:val="auto"/>
        </w:rPr>
        <w:t>. Our X-ray source is based on a field of multiple electron guns on our MEMs-based cathode that spread the load of electron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generation among many “producers” compared to a single filament that heats to a high temperature in the analog X-ray tube. As a result, our digital X-ray source is designed to produce an electron beam from different locations on the chip towards the anode during each duty cycle without the need for the complex, high precision rotating mechanism. In addition, the near instant on/off toggling feature of our digital X-ray source is designed to allow us to reduce the duration of each operation. As a result, we believe our medical imaging system will have higher stability and a longer lifetime, with a longer mean time between failures.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Simplified hardware structure</w:t>
      </w:r>
      <w:r>
        <w:rPr>
          <w:rFonts w:ascii="Times New Roman" w:cs="Times New Roman" w:eastAsia="Times New Roman" w:hAnsi="Times New Roman"/>
          <w:sz w:val="18"/>
          <w:szCs w:val="18"/>
          <w:color w:val="auto"/>
        </w:rPr>
        <w:t>. Because our chip-based X-ray source and tube are designed to be quickly triggered electronically, we are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multiple stationary-anode tubes arranged around the patient as opposed to one larger tube that rotates around the patient. We believe this could reduce the complexity and cost of the Nanox.ARC compared to legacy imaging devices. This current approach to increase durability of the tungsten anode in imaging devices, the rotating anode mechanism requires both a significant increase in tube size and mechanical component cost to allow for the complex movements of the tube. In contrast, we believe by using our X-ray source we will be able to significantly reduce the size of X-ray tubes and simplify the structure of our medical imaging system.</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believe our X-ray source has the potential to replace the legacy X-ray source in other existing imaging systems, as well as the X-ray source in systems used in other industries, such as security scanners.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Nanox System</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developed, and continue to improve, the multi-source Nanox.ARC, a medical device that integrates our proprietary and novel X-ray source. Subject to receiving requisite regulatory clearance and approval, the version of the multi-source Nanox.ARC that we expect to introduce to the market is expected to be a 3D tomosynthesis imaging system that produces a 3D reconstruction of the scanned human body part. The Nanox.ARC, using our X-ray source, is designed to produce partial-body scans of various body parts, with remote operation capability, and to have a full kVp / mA energy throughout range as per industry standards, multi-spectral imaging range, as well as cloud connectivity and standard compliance safety mechanisms. It is designed for easy setup and operation with multiple stationary X-ray tubes arranged around the patient. We anticipate that part of the software will be used to run the Nanox.ARC will be cloud-computing based and integrated with the Nanox.CLOUD, as further explained below.</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Nanox.ARC, we have developed, and continue to improve, the Nanox.CLOUD, a companion cloud software that will allow for the delivery of medical screening as a service. With the Nanox.CLOUD, we anticipate that the high-cost components of existing medical imaging systems, such as analytics and computing software that are traditionally installed via multiple licenses on-premise and on a per-system basis, will become centralized through the cloud.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this will significantly reduce on-going software and IT licensing costs and enable a wide range of functionalities, such as multiple AI diagnostics and remote support. By integrating the Nanox.CLOUD with the Nanox.ARC, we believe the Nanox System could provide a streamlined process and end-to-end medical imaging service, including services such as image repository, radiologist matching, online and offline diagnostics review and annotation, connectivity to diagnostic assistive AI systems, billing, monitoring and reporting.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the Nanox System, following receipt of clearance from the FDA, and if cleared and approved by the requisite regulatory authorities in other jurisdictions, if successfully deployed, will streamline the entire medical screening process ranging from scanning to support diagnostics, and solve the bottleneck of imaging-to-diagnostics.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also expect to be able to offer the Nanox System for a substantially lower cost than existing medical imaging systems, which we believe is key to achieving our goal of making early-detection medical imaging systems more accessible globally. We believe our novel X-ray source is crucial to our ability to substantially reduce the manufacturing cost of the Nanox.ARC. Our digital X-ray source generates X-ray radiation that is measurably identical in all key metrics to the X-ray radiation generated by existing analog X-ray sources, but without creating the high temperature that results from the filament used in the analog X-ray tube, thereby eliminating the need for the costly cooling equipment. In addition, our digital X-ray source is designed to enable the Nanox.ARC to have multiple stationary tubes arranged around the patient, which allows for a more simplified structure, as opposed to requiring the heavy, complex, high-precision rotating mechanisms used in legacy CT devices. As a result, we expect that if we achieve the expected scale, we will be able to offer the Nanox System at a substantially lower cost than the cost of existing medical imaging systems based on analog X-ray sources.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we continue to develop the Nanox System, we continue to implement a multi-step approach to the regulatory clearance process. On June 17, 2021, we submitted a 510(k) premarket notification application to the FDA for the first version of our multi-source Nanox.ARC 3D digital tomosynthesis system. On August 12, 2021, we received a request for additional information from the FDA concerning the first submission of our multi-source system. On January 10, 2022, we withdrew our first submission of our multi-source system. On January 12, 2022, we submitted to the FDA a Q-submission for the second version of our multi-source Nanox.ARC 3D digital tomosynthesis system. The second version of the Nanox.ARC is an improved and enhanced version that was designed, among other things, to address certain deficiencies raised by the FDA during their review of the first submission from June 2021. On September 26, 2022, we submitted a 510(k) premarket notification to the FDA as part of our 510(k) application process for the second version of our multi-source Nanox.ARC 3D digital tomosynthesis system (including the Nanox.CLOUD). On April 28, 2023, we received a 510(k) clearance from the FDA to market the Nanox.ARC (including the Nanox.CLOUD) as a stationary ‎X-ray ‎system ‎intended to produce tomographic images of the human</w:t>
      </w:r>
    </w:p>
    <w:p>
      <w:pPr>
        <w:spacing w:after="0" w:line="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musculoskeletal system adjunctive to conventional radiography, on adult patients. This device is intended‎ to be used in professional healthcare facilities‎ or radiological ‎environments, such as ‎hospitals, clinics, imaging ‎centers and ‎other medical practices‎by trained radiographers, ‎radiologists and physicists.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receipt of clearance from the FDA, and if authorized by similar regulatory agencies in other jurisdictions, our goal is to finalize deployment of the initial 15,000 Nanox System units within three years following receipt of FDA clearance for our multi-source Nanox.ARC (including the Nanox.CLOUD). We have started to ship several units of the Nanox System for clinical image samples, regulatory approvals and demonstration and training purposes. To date, we have not obtained feedback from the FDA regarding the regulatory pathways for the novel digital X-ray source.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to commercialize the second version of the multi-source Nanox.ARC and the Nanox.CLOUD as the Nanox System.</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expect that the Nanox System will enable us to accumulate a significant number of medical images, which have the potential to be used by collaborators, such as medical AI-analytics companies, through machine learning algorithms to increase the probability of early disease detection.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Business Model</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plan to commercialize our X-ray source technology through three simultaneous business models: (i) the Subscription Model, (ii) the Sales Model and (iii) the Licensing Model. We expect the Subscription Model to be our primary business model for the X-ray source technology and the key vehicle to achieving our vision of increasing early detection of medical conditions that are discoverable by X-ray.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Subscription Model (MSaaS Model)</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foundation of the Subscription Model is our integrated offering of the Nanox.ARC and the Nanox.CLOUD, which we refer to as the Nanox System. Under the Subscription Model, which we also refer to as the MSaaS model (Medical Software as a Service), we expect to sell the Nanox System, following receipt of clearance from the FDA, and if cleared or approved by the requisite regulatory authorities in other jurisdictions, at low cost or to provide the system at no cost, and to receive a portion of the proceeds from each scan as the right-to-use licensing fee, and potentially additional fees for usage of the Nanox.MARKETPLACE, AI capability and teleradiology services, with the remaining amount allocated among our partners, including the local operators, radiologists, cloud storage providers, medical AI software providers and others, on a case by case basis. While the actual pricing charged by local operators may be greater than our suggested retail price, the retail price per scan in all markets other than the United States is still expected to be substantially less than the global average. In the United States, we expect the retail price to represent a significant reduction compared to the average cost of a CT scan. We expect the Nanox System will be operated by local operators independent from us, but we would contract with third parties to provide the day-to-day maintenance of the Nanox System.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believe our novel X-ray source could provide existing market participants with the paradigm shift needed for preventive healthcare disruption, we also believe existing market participants are not likely to undertake the change-leadership route and will be slow to adopt the MSaaS model. Accordingly, following receipt of clearance from the FDA, and if authorized by similar regulatory agencies in other jurisdictions, our goal is to finalize deployment of the initial 15,000 Nanox System units within three years following receipt of FDA clearance for our multi-source Nanox.ARC (including the Nanox.CLOUD) to jumpstart the MSaaS-based medical imaging market, including in the United States and certain countries in Asia, Europe, Africa, Latin America and Australia.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Sales Model</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certain countries, we intend to commercialize our X-ray source technology using the Sales Model to accommodate specific local regulatory requirements. Under this model, we expect to sell the Nanox System, following receipt of clearance from the FDA, and if cleared or approved by the requisite regulatory authorities in other jurisdictions, for a one-time charge. We expect this retail price to be higher than the upfront sales price under the Subscription Model but still substantially lower than the cost of existing medical imaging systems. If required by applicable regulatory requirements in any jurisdiction, we may enter into arrangements with third-party cloud vendors, on a case-by-case basis, which will be responsible for providing the cloud services (instead of the Nanox.CLOUD) and will be paid separately by the owner-operators of the Nanox Systems. In addition, we expect to contract with third-party service providers to provide maintenance services for the Nanox Systems at the owner-operators’ own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Licensing Model (OEM Model)</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believe the medical imaging industry will eventually migrate towards the recurring revenue-based MSaaS model, we expect certain leading market participants will be slower to adopt this model. For these market participants, we expect to provide an intermediate solution through which they will adopt our X-ray source technology for their existing systems. Under the Licensing Model, which we also refer to as the OEM (Original Equipment Manufacturer) model, we would be engaged to tailor our X-ray source to the specific systems of medical imaging device manufacturers or other X-ray device manufacturers or to license our X-ray source technology to them to develop new types of imaging systems for a one-time licensing fee upfront for the X-ray source, as well as recurring royalty payments for each system sold that incorporates our X-ray source. The licensees would be responsible for the operation of the medical imaging systems integrating our X-ray source. Although we expect to initially rely on the Licensing Model, in part, we view the Licensing Model as a transitional phase, aimed at maximizing the commercial value of our technology and strategic buy-in from market participants to our vision through partnership and commercial relationships.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Nanox.MARKETPLACE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Nanox.MARKETPLACE (formerly known as the MDW platform), which we acquired from MDWEB in November 2021, is our proprietary decentralized marketplace that connects imaging facilities with radiologists and enables radiologists to provide, and customers to obtain, remote interpretations of imaging data. The platform was designed by radiologists for the imaging industry. The radiologists connecting to Nanox.MARKETPLACE include those radiologists who are part of our network and provide teleradiology services through USARAD, as well as other radiologists, all of whom undergo an accreditation process that we perform and are required to be certified by the American Board of Radiology. Based primarily on customer location and area of specialization, radiologists will be matched to conduct the imaging interpretation.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Nanox.MARKETPLACE has created a payments system through which the radiologist receives on demand payment from the customer, via the platform, upon the delivery of the imaging interpretation. The customer can order an image interpretation on an as-need basis, through the web-based platform, without any special hardware or technical knowledge.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Nanox.MARKETPLACE service is currently offered on a standalone basis. In the future, we plan to incorporate the Nanox.MARKETPLACE into the Nanox System, such that images that were generated by the Nanox.ARC and uploaded to the Nanox.CLOUD, can be streamlined and referred through the Nanox.MARKETPLACE to radiologists for remote reading.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AI Imaging Solutions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Nanox AI (previously known as Zebra) that we acquired in November 2021, has developed machine learning platforms, based on its database of over 500 million imaging scans, which facilitate the development of AI medical imaging solutions. Nanox AI has FDA clearance for eight radiology AI solutions, CE mark in Europe for five radiology AI solutions and regulatory approvals in other countries for its radiology AI solutions. Nanox AI has been granted over one dozen patents in the field of radiology AI. Nanox AI gathers underutilized image data from CT scans and helps medical service providers focus on patients that, upon findings generated by use of our AI solutions, require additional medical attention.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Following our acquisition of Nanox AI, we offer FDA cleared AI-based software imaging solutions to hospitals, HMOs, IDNs, marketplaces, pharmaceutical companies and insurers that are designed to identify or predict undiagnosed or underdiagnosed medical conditions, through the mining of data of existing CT scans. We are party to collaboration agreements with marketplaces for access and distribution of our Nanox AI solutions, and agreements with IDNs and hospitals with respect to our AI imaging solutions. We currently offer AI imaging population health solutions aimed at identifying underlying findings, which are correlated to osteoporosis and cardiovascular disease. In addition, we are currently in advanced stages of developing a product for fatty liver to help detect patients at risk for more advanced liver disease such as NASH. With our AI imaging population health solutions, we aim to further our mission to enable preventative healthcare through early detection. We also continue to maintain certain legacy contracts for AI imaging triage solutions.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since the acquisition and completion of the integration with Nanox AI, we have begun to develop AI-based features to enhance the images generated by the Nanox.ARC, with the goal of improving diagnostic capabilities for the Nanox.ARC in chest and musculoskeletal imaging. Ultimately, we expect to integrate these AI imaging capabilities, which we refer to as Robodiology, into the Nanox System. Subject to completion of the development and receipt of requisite regulatory approvals, we plan to offer these AI imaging solutions as an optional service to our MSaaS partners.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Teleradiology Services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Following our acquisition of USARAD in November 2021, we offer teleradiology services to customers in the U.S market as well as five additional countries. We provide radiologic interpretations or reads for emergency, routine, and subspecialty care cases through the utilization of our scalable communications network, incorporating encrypted servers and broadband Internet connections with workflow management and clinical applications software. Our radiologists’ network is comprised of U.S.-based radiologists, certified by the American Board of Radiology. We have a network of over 110 independent radiologists, all of whom have undergone an accreditation process by us, and we provide our services to approximately 187 customers representing approximately 241 facilities. We allocate images that we receive from our customers, through our picture archiving and documentation system, to radiologists in our network based on the radiologist’s area of specialization. Payment is made by the customer directly to us monthly based on the number of monthly readings and we pay the radiologist a predetermined fixed fee per reading.</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offer imaging interpretation services for radiology practices, hospitals, medical clinics, diagnostic imaging centers, urgent care facilities and multi-specialty physician groups and USARAD contracts directly with these customers. In addition, we provide second opinion radiology readings. We believe this service offers our customers a solution to improve service levels, streamline underlying practice economics and enhance physician efficiency without sacrificing the quality of patient care.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Currently, our teleradiology services are offered as a standalone product through USARAD. In the future, we plan to incorporate our teleradiology services as part of our Nanox System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X-Ray Technology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plan to commercialize our X-ray technology using the three simultaneous business models described above broadly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globe in the next few years, including in the United States and certain countries in Asia, Europe, Africa, Latin America, and Australia. Our sales and marketing strategy varies depending on specific geographical regions, as different regions generally require different marketing approaches.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most countries, other than the United States, we expect to primarily market through local partnerships with strong national branding and operational market participants in the target region. These local partners would be engaged in deploying and operating our medical imaging systems, training and recruiting a local medical professional workforce to operate the systems and providing medical imaging diagnostics for the systems’ scan results.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United States, we expect to deploy the Nanox System primarily through our local subsidiaries. In countries other than United States, we also expect to engage local value-added resellers or integrators in different geographic regions to facilitate the local integration of our systems with health maintenance organizations, electronic health record systems, payment methods and insurance coverage companies. We estimate that it will take approximately three to six months of integration and localization efforts before we can generate sales in a given region.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AI Solutions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currently focus our sales and marketing efforts for our AI solutions in the U.S., EU and UK markets and target large hospitals,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HMOs, IDNs, marketplaces, pharmaceutical companies and insurers.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Teleradiology Services and Nanox.MARKETPLACE</w:t>
      </w:r>
      <w:r>
        <w:rPr>
          <w:rFonts w:ascii="Times New Roman" w:cs="Times New Roman" w:eastAsia="Times New Roman" w:hAnsi="Times New Roman"/>
          <w:sz w:val="18"/>
          <w:szCs w:val="18"/>
          <w:color w:val="auto"/>
        </w:rPr>
        <w:t>. We currently focus our sales and marketing efforts for our teleradiology services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Nanox.MARKETPLACE in the U.S. market and target daytime costumers, which include urgent care facilities, stand-alone imaging facilities and outpatient imaging centers, as well as night-time and weekend customers, comprised of hospitals and community hospitals (state and local government).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the completion of our acquisitions, we are continuing to explore the potential synergies and the expansion of our offerings. We aim to integrate the Nanox.ARC and the Nanox.CLOUD with the Nanox.MARKETPLACE, creating a 3D imaging system that enables remote readings of scans with AI-powered imaging analysis and a global teleradiology 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of the Nanox.ARC</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optimized the MEMs proprietary manufacturing process and initially used our own equipment in the clean rooms located at the University of Tokyo to manufacture the MEMs X-ray chip. We commenced manufacture of the MEMs X-ray chips at our fabrication facility in Korea, which is expected to meet our currently anticipated manufacturing needs.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plan to engage with third-party manufacturers and suppliers for the commercial production of our digital X-ray tubes for use in the Nanox.ARC, following receipt of clearance from the FDA, and if cleared or approved by the requisite regulatory authorities in other jurisdictions, based on, among other things, cost effectiveness. We are currently developing both ceramic and glass-based digital X-ray tubes for use in the Nanox.ARC. We are working with third parties as well as producing digital ceramic tubes at our Korean facility, which is currently our primary manufacturer and supplier for our digital ceramic tubes. In April 2023, Nanox Korea received ISO 13485 certification for Medical Devices Quality Management Systems, covering Design, Development, Manufacturing, and Sales of X-Ray Tube for Medical Use, which is valid for a period of three years.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2020, we entered into a three-year contract manufacturing agreement with FITI for mass production of the multi-source Nanox.ARC. Under the contract manufacturing agreement, FITI will negotiate and subcontract with other third parties for the commercial supply of the components of the Nanox.ARC in accordance with the pre-approved supplier list and on the terms to be agreed upon by both parties, except for the MEMs X-ray chip and X-ray tube. As we further expand our business in connection with the commercialization of our X-ray technology, we also expect to seek to engage alternative manufacturers of the Nanox.ARC. The agreement will be in effect for three years from the date of the agreement and is renewed for successive terms of one year unless or until either party notifies the other in writing of its intention not to renew with 90 days’ prior notice.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due, in part, to travel restrictions as a result of the COVID-19 pandemic, we decided to manufacture the first Nanox.ARC units in Israel and we engaged with Dagesh to manufacture Nanox.ARC units in Israel on a purchase order basis. These units are being used for purposes of collecting clinical sample images, obtaining regulatory approvals and demonstrations and training, and we expect they will be used for the initial global deployment, among other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MSaaS Agreements for the Nanox System</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entered into 12 MSaaS agreements to deploy a total of 6,850 Nanox Systems in 17 regions, including in Europe, South and Central America, Asia, Australia, New Zealand, Russia and Africa. Under the terms of each agreement, we grant the other party a limited, non-transferable, sub-licensable right to access and operate the Nanox System in the region applicable for such party. We undertake to provide a specified number of Nanox Systems to each entity based on agreed shipment schedules, subject to local regulatory approval and material compliance with acceptance test protocol (the “Conditions Precedent”). The other party undertakes to deploy the Nanox Systems to provide a minimum number of scans per year (generally based on 7 scans per day and 23 days per month) on a pay-per-scan basis, and to pay a minimum annual fee (including payments to our partners) ranging from approximately $2 million to $58 million, or approximately $155 million in total, excluding the payments to our partners. The MSaaS agreements, subject to certain conditions, require each of our counterparties to deliver to us a standby letter of credit or financial guarantee in the amount equal to the minimum annual fee in favor of us after receipt of the Conditions Precedent. However, there can be no guaranty that our counterparties will be able to obtain such letters of credit or financial guarantees. In addition, a majority of our MSaaS agreements are exclusive; however, under several agreements, we may seek alternative partners in the applicable region while maintaining the possibility to eventually resume the agreement, if the requisite regulatory authorizations are received.</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Nanox Systems provided under each agreement will remain our property, and the other party will only have a limited license to use the Nanox Systems. In addition, we must approve in writing any sublicense granted under the applicable agreement. We undertake to provide billing services and training for a local medical professional workforce to operate the Nanox System and typically also undertake to provide radiology and maintenance services to operate the Nanox System.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agreement will be in effect for multiple years, ranging from three to seven years from the date of the applicable agreement or the date of fulfilment of the Conditions Precedent, as applicable, and is renewable for an additional multi-year term with both parties’ mutual consent. Each agreement may be terminated by, among other things, notice of the non-breaching party in case of a material breach of a party’s material obligations, or by either party in case of the bankruptcy or insolvency of the other party.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Most of the MSaaS agreements are in initial phases as the deployment of the Nanox System remains subject to regulatory clearance or approval (including, in certain cases, FDA clearance). We are collaborating with our partners to obtain the applicable regulatory authorizations and other requisite Conditions Precedent in the applicable region. In parallel, we have entered into several memorandums of understanding and/or preliminary agreements with existing and potential partners for evaluation of market penetration and deployment in various regions. Within the scope of these engagements, we have shipped several Nanox System units for purposes of collecting clinical sample images, obtaining regulatory approvals and demonstrations and training.</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our MSaaS business model has the potential to expand the total size of the X-ray-based medical imaging market. We plan to measure the success of our MSaaS business model by annual capacity for Above-the-Line (“ATL”) scans which represent the increased capacity of imaging care we can provide to people that originally had no meaningful access to medical imaging. As we expand our operations and deploy more units of the Nanox System in an increasing number of countries using the MSaaS model, we expect our ATL scans metric to increase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enter into collaboration agreements in the ordinary course of business.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example, we previously entered into a collaboration agreement, dated September 8, 2019, with Hadasit Medical Research Services and Development Ltd., a wholly owned subsidiary of the Hadassah Medical Organization, to collaborate with respect to our medical imaging technology and resulting medical images devices, by way of (among other things) joint research and development projects.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on June 4, 2020, we entered into a collaboration agreement with SK Telecom, pursuant to which we and SK Telecom continue to explore and engage in good faith to develop a definitive agreement for the deployment of 2,500 Nanox Systems in South Korea and Vietnam, and we have established a wholly-owned subsidiary in South Korea with the support of SK Telecom for the purpose of manufacturing MEMs X-ray chips for the Nanox.ARC. Although the agreement expired according to its terms, we continue to explore business opportunities and assess potential collaborations with SK Telecom in various business areas and opportunities.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entered into several non-exclusive collaboration agreements with certain AI partners and image transfer partners, which we may utilize to complement our in-house AI capabilities, including those developed by the companies we acquired in November 2021.</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Given that the Nanox.CLOUD and the Nanox.MARKETPLACE are designed with the capability to receive scans from different imaging sources, in addition to the Nanox.ARC, we intend to explore additional collaboration opportunities in the near future. For example, in 2022, we invested $1.0 million for approximately 1% of the shares of Remedi co Ltd. (“Remedi”), a Korean radiation specialist company in radiography and therapy based on X-ray components. Remedi is a privately owned company, and we have an ongoing collaboration in the development of the high voltage power supply for Nanox.ARC. In August 2022, we entered into a supply agreement with Remedi in order to integrate Remedi’s two-dimensional (“2D”) imaging systems (using traditional X-ray tubes) to the Nanox.CLOUD and the Nanox.MARKETPLACE, creating a mobile 2D X-ray system that enables remote readings of scans with AI-powered imaging analysis and a global teleradiology solution, which we refer to as the “Nanox.CONNECT.” The Nanox.CONNECT is currently deployed in a several beta sites in order to receive local regulatory approvals and explore and evaluate the business model and the potential service.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Several large companies, such as General Electric, Siemens, Philips, Hologic, Varian, Fuji, Toshiba and Hitachi currently dominate the medical imaging market. High regulatory, distribution, manufacturing and service-related long-term contractual costs represent significant barriers to entry for any new player. We expect that the existing market participants will remain key players in the future and we aim to form alliances with several of these leading market participants, including through licensing.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Over time, we anticipate that the evolution in the industry will bring new players into the market. Digital healthcare disruptors such as cloud computing companies or leading IT companies may enter the industry and we believe that they may become partners over time through our Subscription Model.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general matter, we view competition on two levels:</w:t>
      </w:r>
    </w:p>
    <w:p>
      <w:pPr>
        <w:spacing w:after="0" w:line="225"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digital X-ray sources with same or better attributes;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enterprises operating an MSaaS business model.</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terms of digital X-ray sources, the field emission display technology is known and a wide range of industry leaders have used it to attempt to create an alternative, digital source of X-ray. To our knowledge, the most well-known attempt to achieve a commercial grade, stable digital X-ray source was the use of carbon nano tubes (“CNT”) as the base material for a potential field emission-based solution, and at least one company has recently commercialized an X-ray system based on a CNT solution and there are several other companies currently in the process of developing this technology.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terms of the MSaaS business model, we currently seek a first-mover advantage by introducing the Subscription Model, as the main pre-requisite for this model is the low cost of the X-ray source (when manufactured at scale). However, the primary competition comes from established market participants. While in developing countries we are experiencing keen interest, the United States and other Western regions already have major market participants that are well entrenched in the market with strong political influence and the ability to delay deployment of our systems.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our AI imaging solutions, there are a number of companies that currently offer AI radiology solutions, such as Aidoc and VIZ.AI, which, to our knowledge, are focused on life threatening and urgent cases. In addition, legacy healthcare technology companies are expected in the future to increase development efforts in the field of AI imaging solutions. For example, Siemens Healthineers has developed AI-Rad Companion, which provides automatic post-processing of imaging datasets through AI-powered algorithms for Siemens CTs.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our teleradiology services, the teleradiology market is highly competitive, rapidly evolving, and fragmented, and is subject to changing technology and market dynamics. The market has recently experienced and is expected to continue to experience competitive pricing pressure and radiologist compensation pressure. We compete directly with both large and small-scale service providers who offer local, regional and national coverage operations. We believe that our principal competitors are Envision Physician Services and Radiology Partners. We compete to attract and retain relationships with customers and radiologists in different ways.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and Data Privacy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Nanox System is being designed and developed with personal privacy, data security and protection in mind as a top priority for all development parties. Medical imaging information and other health information is highly personal and sensitive and thus regarded as a prime target for hacks and malicious theft. As part of our normal operations, we expect to collect, process and retain personal identifying information regarding patients.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we will likely be subject to U.S. rules and regulations governing data protection, including HIPAA, HITECH and other privacy and data security regulations. See“—Government Regulation—Healthcare Regulatory Laws—Data Privacy and Security.”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Separate from, and in addition to, the GDPR/UK GDPR requirements, certification requirements for the hosting of health data will vary by jurisdiction (and may or may not apply to hosts of health data). As the Nanox System is projected to operate in various EEA countries, we may be required to comply with other national healthcare regulations or regulatory requirements. For example, in France, there is a procedure as of April 1, 2018, for hosts of health data to obtain a prior certification with the competent certification body. Similarly, in Israel, any provision of cloud-based systems to public health sector entities requires certain certifications, such as ISO 27001 and ISO 27799 pertaining to the secured processing of health-related data. Such certifications require further compliance investments and maintenance costs.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dedicated to making our systems and software both HIPAA and GDPR/UK GDPR compliant. We intend to submit our systems to an independent external audit on a regular basis as required by HHS. We also intend to develop our privacy protocols to comply with the GDPR/UK GDPR. In addition, we are undertaking intendant measures to ensure a high-level of imaging data encryption, complete separation between the imaging data and personal information (anonymization) as well as three-factor authentication procedures during on-boarding and usage of the Nanox System. We also intend to undertake to perform periodic Pen-Tests by external cyber security professionals and publish the results of such audits publicly and without delay on our website and via public relations channels.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Nanox System and our operations will be subject to extensive regulation by the FDA, and other federal and state authorities in the United States, as well as comparable authorities in foreign jurisdictions. The Nanox.ARC will be subject to regulation as medical devices and radiation-emitting devices in the United States under the FDCA, as implemented and enforced by the FDA, and under comparable regulatory schemes in foreign jurisdictions.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Medical Devices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within the United States are safe and effective for their intended uses or are substantially equivalent to a predicate device and otherwise meet the requirements of the FDCA.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certain exceptions, each medical device commercially distributed in the United States requires either FDA clearance of a 510(k) premarket notification, or approval of a PMA application.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the FDA’s premarket notification and clearance process in order to be commercially distributed.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510(k) Clearance Marketing Pathway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Nanox.ARC is a Class II device that was subject to premarket notification and clearance under section 510(k) of the FDCA. To obtain 510(k) clearance, we submitted to the FDA a premarket notification submission demonstrating that the proposed device is “substantially equivalent” to a predicate device already on the market.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three to twelve months, but often takes longer. In certain cases, the FDA may require additional information, including clinical data, to make a determination regarding substantial equivalence. In addition, the FDA collects user fees for certain medical device submissions and annual fees and for medical device establishments. For fiscal year 2023, the standard user fee for a 510(k) premarket notification application is $19,870.</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process, which is a route to market for novel medical devices that are low to moderate risk and are not substantially equivalent to a predicate device.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After a device receives 510(k) marketing clearance, any modification that could significantly affect its safety or effectiveness, or that would constitute a major change or modification in its intended use, will require a new 510(k) clearance or, depending on the modification, PMA approval or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novo </w:t>
      </w:r>
      <w:r>
        <w:rPr>
          <w:rFonts w:ascii="Times New Roman" w:cs="Times New Roman" w:eastAsia="Times New Roman" w:hAnsi="Times New Roman"/>
          <w:sz w:val="18"/>
          <w:szCs w:val="18"/>
          <w:color w:val="auto"/>
        </w:rPr>
        <w:t>reclassification. The FDA requires each manufacturer to determine whether the proposed change requires submission of a 510(k), a</w:t>
      </w:r>
      <w:r>
        <w:rPr>
          <w:rFonts w:ascii="Times New Roman" w:cs="Times New Roman" w:eastAsia="Times New Roman" w:hAnsi="Times New Roman"/>
          <w:sz w:val="18"/>
          <w:szCs w:val="18"/>
          <w:i w:val="1"/>
          <w:iCs w:val="1"/>
          <w:color w:val="auto"/>
        </w:rPr>
        <w:t xml:space="preserve"> de novo </w:t>
      </w:r>
      <w:r>
        <w:rPr>
          <w:rFonts w:ascii="Times New Roman" w:cs="Times New Roman" w:eastAsia="Times New Roman" w:hAnsi="Times New Roman"/>
          <w:sz w:val="18"/>
          <w:szCs w:val="18"/>
          <w:color w:val="auto"/>
        </w:rPr>
        <w:t>request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or until PMA approval is obtained 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is granted. Also, in these circumstances, the manufacturer may be subject to significant regulatory fines or penalties.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the FDA officials announced forthcoming steps that the FDA intends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2019, the FDA finalized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in the case of applicable products, for manufacturers to compare the safety and performance of their medical devices to specific predicate devices in the clearance process. The FDA maintains a list of device types appropriate for the “safety and performance based” pathway and will continue to develop product-specific guidance documents that identify the performance criteria for each such device type, as well as the testing methods recommended in the guidance documents, where feasible. Also in September 2019, the FDA finalized guidance describing its current approach to the “Special 510(k)” program, which provides an optional pathway for certain well-defined device modifications where a manufacturer modifies its own legally marketed device, and design control procedures produce reliable results that can form, in addition to other 510(k) content requirements, the basis for substantial equivalence.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PMA Approval Pathway</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Class III devices require PMA approval before they can be marketed, although some pre-amendment Class III devices for which the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 PMA devices are also subject to the payment of user fees, which for fiscal year 2023 includes a standard application fee of $441,547 and an annual establishment registration fee of $6,493.</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 We do not expect any of our products to be marketed pursuant to a PMA.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Clinical trials are almost always required to support a PMA and are sometimes required to support a 510(k) submission. All clinical investigations of devices to determine safety and effectiveness must be conducted in accordance with FDA and other regulatory requirements, including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Regardless of the degree of risk presented by the medical device, clinical studies must be approved by, and conducted under the oversight of, an Institutional Review Board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9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 Regulation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regulatory requirements continue to apply. These include:</w:t>
      </w:r>
    </w:p>
    <w:p>
      <w:pPr>
        <w:spacing w:after="0" w:line="225"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 with the FDA;</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investigational products, or the promotion of “off-label” uses of cleared or approved products;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related to promotional activities;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 of one of our cleared devices, or approval of certain modifications to PMA-approved devices;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7" w:name="page68"/>
    <w:bookmarkEnd w:id="67"/>
    <w:p>
      <w:pPr>
        <w:jc w:val="both"/>
        <w:ind w:left="980" w:hanging="324"/>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will be subject to periodic scheduled or unscheduled inspections by the FDA. Our failure to maintain compliance with the QSR requirements could result in the shut-down of, or restrictions on, our manufacturing operations and the recall or seizure of our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62"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untitled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withdrawals or administrative detention or seizure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marketing clearance or PMA approvals of new products or modified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PMA approvals that have already been granted;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approvals for our products;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Teleradiology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healthcare industry is highly regulated. Our ability to operate profitably will depend in part upon the ability of us, our affiliated radiologists, and our customers to obtain and maintain all necessary licenses and other approvals to comply with applicable healthcare regulations. We believe healthcare regulations will continue to change. Therefore, we monitor developments in healthcare law and we are likely to be required to modify our operations from time to time as the business and regulatory environment changes. Although we believe that we are operating in compliance with applicable federal and state laws, we cannot assure you that review of our business by courts or regulatory authorities will not result in determination that could adversely affect our operations or that the healthcare regulatory environment will not change in way that restricts our operations. Future changes in healthcare regulation are difficult to predict and may constrain or require us to restructure our operations, which could negatively impact our business and operating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color w:val="auto"/>
        </w:rPr>
        <w:t>Radiological Devices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and our products will also be regulated by the FDA under the Electronic Product Radiation Control provisions of the FDCA because the Nanox.ARC contains radiation emitting components, and because we assemble these components during manufacturing and service activities. The Electronic Product Radiation Control provisions require radiation-producing products to comply with certain regulations and applicable performance standards. Manufacturers are required to certify in product labeling and reports to the FDA that their products comply with all necessary standards as well as maintain manufacturing, testing and sales records for their products. The Electronic Product Radiation Control provisions also require manufacturers to report product defects and affix appropriate labeling to covered products. Failure to comply with these requirements could result in enforcement action by the FDA, which can include any of the sanctions described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Regulatory Laws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Within the United States, our products and our customers will be subject to extensive regulation by a wide range of federal and state agencies that govern business practices in the medical device industry. These laws include federal and state anti-kickback, fraud and abuse, false claims, transparency and anti-corruption statutes and regulations. Internationally, other governments also impose regulations in connection with their healthcare reimbursement programs and the delivery of healthcare items and services.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U.S. federal healthcare fraud and abuse laws will generally apply to our activities, among other reasons because we expect that our products will be covered under federal healthcare programs such as Medicare and Medicaid. The Anti-Kickback Statute is particularly relevant because of its broad applicability. Specifically, the Anti-Kickback Statute prohibits persons from knowingly and willfully soliciting, offering, receiving or providing remuneration, directly or indirectly, in exchange for, or to induce, either the referral of an individual, or the furnishing, arranging for or recommending a good or service for which payment may be made in whole or part under federal healthcare programs, such as the Medicare and Medicaid programs. A broad range of financial interactions with a healthcare provider, patient or customer may implicate the Anti-Kickback Statute. Statutory exceptions and regulatory safe harbors protect certain interactions if specific requirements are met. However, only those interactions that represent fair market value exchanges generally are protected by a safe harbor or exception. The government can exercise enforcement discretion in taking action against unprotected activities. Further, a person or entity does not need to have actual knowledge of the Anti-Kickback Statute or specific intent to violate it in order to have committed a violation. In addition, the government may assert that a claim involving items or services resulting from a violation of the federal Anti-Kickback Statute also constitutes a false or fraudulent claim for purposes of the federal False Claims Act or federal civil money penalties statute. Penalties for Anti-Kickback Statute violations may include both criminal penalties such as imprisonment and fines and civil sanctions such as civil penalties and possible exclusion from Medicare, Medicaid and other federal healthcare programs. Exclusion would mean that diagnostic tests using our products would no longer be eligible for reimbursement under federal healthcare programs.</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states have adopted laws similar to the Anti-Kickback Statute. Some of these state prohibitions apply to referral of patients for healthcare items or services reimbursed by any payor, not only federal healthcare programs. Insurance companies may also bring a private cause of action for treble damages against a manufacturer for a pattern of causing false claims to be filed under the federal Racketeer Influenced and Corrupt Organizations Act. We believe that we are operating in compliance with applicable federal and state anti-kickback laws and that our contractual arrangements with our customers are structured in manner that complies with such laws.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Another development affecting the healthcare industry is the increased use of the federal civil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healthcare program. The qui tam provisions of the False Claims Act allow a private individual to bring actions on behalf of the federal government alleging that the defendant has submitted a false claim to the federal government, and to share in any monetary recovery. In recent years, the number of suits brought against healthcare providers by private individuals has increased dramatically. In addition, various states have enacted false claim laws analogous to the Civil False Claims Act, although many of these state laws apply where a claim is submitted to any third-party payor and not merely a federal healthcare program.</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Federal False Claims Act, we may be liable if we or one of our customers submitted a false claim. If we were found to have violated these laws and regulations and as result submitted or caused our customers to submit a false claim, any sanctions imposed under the Federal False Claims Act could result in substantial fines and penalties or exclusion from participation in federal and state healthcare programs which could have a material adverse effect on our business and financial condition. If we are excluded from participation in federal or state healthcare programs, our customers who participate in those programs could not do business with us. Federal regulatory and law enforcement authorities regularly review and enforce activities with respect to Medicare and Medicaid fraud and abuse regulations and other reimbursement laws and regulations, including laws and regulations that govern our activities and the activities of teleradiologists. These increased enforcement activities may have a direct or indirect adverse effect on our business, financial condition and results of operations. We believe that we are operating in compliance with these laws. However, if we are found to have violated such laws, our business, results of operations and financial condition would be harmed.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9" w:name="page70"/>
    <w:bookmarkEnd w:id="6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federal physician self-referral statute, known as the Stark Law, prohibits physicians from making referrals for certain designated health services, including radiology services, to any entity with which the physician has a financial relationship unless there is an exception in the statute that allows the referral. The entity that receives a prohibited referral from a physician may not submit the bill to Medicare for that service. Federal courts have ruled that violations of the Stark Law, as well as violations of the federal anti-kickback laws described above, can serve as the basis for Federal False Claims Act suits. Many state laws prohibit physician referrals to entities with which the physician has a financial interest or require that the physician provide the patient with notice of the physician’s financial relationship before making the referral. Violation of the Stark Law can result in substantial civil penalties for both the referring physician and any entity that submits a claim for healthcare service made pursuant to a prohibited referral. We believe that all our customer arrangements are in compliance with the Stark Law. However, these laws could be interpreted in a manner inconsistent with our operations. Federal or state self-referral regulation could impact our arrangements with certain customers.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among other things, created two new federal crimes: healthcare fraud and false statements relating to healthcare matters. The HIPAA healthcare fraud statute prohibits, among other things, knowingly and willfully executing, or attempting to execute, a scheme to defraud any healthcare benefit program, including private payors. A violation of this statute is a felony and may result in fines, imprisonment and/or exclusion from government-sponsored programs. The HIPAA false statements statute prohibits, among other things, knowingly and willfully falsifying, concealing or covering up a material fact or making any materially false, fictitious or fraudulent statement or representation in connection with the delivery of or payment for healthcare benefits, items or services. A violation of this statute is a felony and may result in fines and/or imprisonment. Similar to the federal Anti-Kickback Statute, a person or entity does not need to have actual knowledge of the statutes or specific intent to violate them in order to have committed a violation.</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HIPAA authorizes the imposition of civil money penalties against entities that employ or enter into contracts with individuals or entities who have been excluded from participation in the Medicare or Medicaid programs. We perform background checks on our affiliated radiologists, and we do not believe that we engage or contract with any excluded individuals or entities. However, a finding that we have violated this provision of HIPAA could have a material adverse effect on our business and financial condition. We believe that our services have not historically been provided in a way that would place either our clients or ourselves at risk of violating HIPAA anti-fraud statutes, including those in which we may be considered to receive an indirect reimbursement, because of the reassignment by us to our customers of the right to collect for final reads. We have entered into agreements, and may in the future enter into agreements, with hospitals that are subject to an integrity order by the U.S. Department of Health and Human Services Office of the Inspector General (the “HHS-OIG”) that requires the hospital to ensure that each subcontractor to the hospital fully complies with HIPAA and the terms of the integrity order, including written policies and procedures assuring compliance, and subjects each subcontractor to audit at the determination of the HHS-OIG. We could be vulnerable to prosecution under these statutes if any of our customers deliberately or recklessly submits claims that contain false, misleading or incomplete information. In addition, the administrative simplification provisions of HIPAA require the promulgation of regulations establishing national standards for, among other things, certain electronic healthcare transactions, the use and disclosure of certain individually identifiable patient health information and the security of the electronic systems maintaining this information. These are commonly known as the HIPAA transaction and code set standards, privacy rule and security rule, respectively. The administrative simplification provisions of HIPAA direct the federal government to adopt national electronic standards for automated transfer of certain healthcare data among healthcare payers plans and providers, intended to enable healthcare industry participants to communicate electronic data using a single set of standards. We are a covered entity under HIPAA and as such we must operate in compliance with the electronic transaction and code set standards, privacy rule and security rule. We are also a business associate under HIPAA because we perform services for or on behalf of other covered entities. We have developed policies, procedures and systems for handling patient health information that we believe comply with the requirements of HIPAA.</w:t>
      </w:r>
    </w:p>
    <w:p>
      <w:pPr>
        <w:spacing w:after="0" w:line="1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Laws and regulations have also been enacted by the federal government and various states to regulate the sales and marketing practices of medical device and pharmaceutical manufacturers. The laws and regulations generally limit financial interactions between manufacturers and healthcare providers, require pharmaceutical and medical device companies to comply with voluntary compliance standards issued by industry associations and the relevant compliance guidance promulgated by the U.S. federal government and/or require disclosure to the government and/or public of financial interactions (so-called “sunshine laws”). Many of these laws and regulations contain ambiguous requirements or require administrative guidance for implementation. Manufacturers must adopt reasonable interpretations of requirements if there is ambiguity and those interpretations could be challenged. Given the lack of clarity in laws and their implementation, our activities could be subject to the penalty provisions of the pertinent federal and state laws and regulations.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practice of medicine, including the practice of radiology and teleradiology, is subject to state licensure laws, regulations and approvals. Physicians located in one state who provide professional medical services to patients located in another state via a telemedicine system must ordinarily hold a valid license to practice medicine in both the state where the physician is located and the state in which the patient is located. We have established a system for ensuring that our affiliated radiologists are appropriately licensed under applicable state law. If we are unable to obtain proper physician licenses or hospital credentials on behalf of our affiliated radiologists, or if our affiliated radiologists lose those licenses or credentials, our business financial condition and results of operations may be negatively impacted.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Generally, corporate practice of medicine laws prohibit anyone but duly licensed physicians from exercising control over the medical judgments or decisions rendered by another physician. Given that general prohibition, some states permit business corporations to hold directly or indirectly customer contracts for the provision of medical services, including radiology and teleradiology, and to own a medical practice that provides such services, provided that only physicians exercise control over the medical judgments or decisions of other physicians. Moreover, the laws of such states may prohibit anyone but a physician who is duly licensed in such state from owning any interest in a medical practice that is incorporated or doing business in such state or the state of incorporation. Failure to comply with these laws could have material and adverse consequences including the judicially sanctioned refusal of third-party payers to pay for services rendered, the absolute right of customers to immediately repudiate the contract for services, malpractice claims or license revocation or suspension proceedings against the provider and possibly the hospital based upon the alleged violation of statute designed to protect the public, as well as civil or criminal penalties. We believe that we are following the corporate practice of medicine laws in each state in which our affiliated radiologists provide medical services. Each of these are duly licensed or qualified as a medical practice in the states where such license or qualification is required. We do not exercise control over the medical judgments or decisions of our affiliated radiologists. While we believe we follow the requirements of the corporate practice of medicine laws in each state where our affiliated radiologists provide services, these laws and their interpretations are continually evolving and may change in the future. Moreover, these laws and their interpretations are generally enforced by state courts and regulatory agencies that have broad discretion in their enforcement. If our arrangements with our affiliated radiologists or our customers are found to violate state laws prohibiting the practice of medicine by general business corporations or fee splitting, our business financial condition and ability to operate in those states could be adversely affected.</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Many states have enacted laws prohibiting physicians from splitting fees derived from the practice of medicine with anyone else. We believe that the management administrative technical and other nonmedical services we provide to each of our affiliated radiologists for service fee does not constitute fee splitting. Our belief notwithstanding, these laws and their interpretations also vary from state to state and are also enforced by state courts and regulatory authorities that have broad discretion in their enforcement. If our arrangements with our affiliated radiologists or our customers are found to violate state laws prohibiting the practice of medicine by general business corporations or fee splitting our business financial condition and ability to operate in those states could be adversely affected.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CMS has certain anti-markup rules relating to diagnostic tests paid for by the Medicare program. The anti-markup rules are generally applicable where a physician or other supplier bills for the technical component or professional component of a diagnostic test that was ordered by the physician or other supplier or ordered by a party related to such physician or other supplier through common ownership or control, and the diagnostic test is performed by a physician that does not share a practice with the billing physician or other supplier. If the anti-markup rule applies to a diagnostic test, then the reimbursement provided by Medicare to the billing physician or other supplier for that transaction may be limited. Because our affiliated radiologists do not order diagnostic tests and no party under common control with either us or our affiliated radiologists orders diagnostic tests, we believe that the anti-markup rule does not apply to the professional services our affiliated radiologists perform. However, this rule could be subject to an interpretation that affects the amounts either we or our customers may be reimbursed by Medicare for professional diagnostic interpretations.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Over the past few years, the growth rate of advanced imaging volumes has slowed in part due to additional patient-related cost-sharing programs and an increasing trend of third-party payors intensifying their utilization management efforts, for example, through benefit managers who require prior authorizations to control the growth rate of imaging services generally. We expect that these trends will continue.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By way of example, in the United States, the Protecting Access to Medicare Act of 2014 required CMS, in conjunction with medical specialty societies, to adopt AUC for certain advanced diagnostic imaging services, including MRI, CT, nuclear medicine (including position emission tomography). Under this provision, payment is to be made to the furnishing professional for an applicable advanced diagnostic imaging service only if the claim indicates that the ordering professional consulted a qualified clinical decision support mechanism, as identified by HHS, as to whether the ordered service adheres to the applicable AUC. Applicable settings include physician offices, hospital outpatient departments, including emergency departments, ambulatory surgical centers and independent diagnostic testing facilities. Advanced imaging services ordered by certain physicians identified as having outlier-ordering partners will be subject to prior authorization for applicable imaging services provided to Medicare beneficiaries. In July 2022, CMS announced that the payment penalty phase for the AUC program would not begin on January 1, 2023 even if the public health emergency for COVID-19 ended in 2022 and that it was unable to forecast when the payment penalty phase would begin. The outlier methodology used by CMS will be subject to future notice and comment rulemaking before the prior authorization component is implemented. We cannot predict the full impact of this project.</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Third-party payors may impose limits on coverage or reimbursement for diagnostic imaging services, including denying reimbursement for tests that do not follow recommended diagnostic procedures or can only be billed using an unlisted or miscellaneous code. To the extent our customers will depend on third-party payors, unfavorable coding, coverage and reimbursement policies may constrict the profit margins of our provider customers, which may force us to lower our fees to attract and retain customers. If we are required to request new billing codes that more precisely identify and describe our imaging services, coverage is limited or reimbursement rates are inadequate, a healthcare provider might find it financially unattractive to own our diagnostic imaging systems. It is possible that third-party payor coding, coverage and reimbursement policies will affect the need or prices for our products in the future, which could significantly affect our financial performance and our ability to conduct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as of December 31, 2022, all of our affiliated radiologists were located within the United States and are eligible to submit to Medicare and state Medicaid programs for reimbursement for services performed. Where our affiliated radiologists provide final reads that are reimbursable under these programs, our business model generally provides that we are still paid service fees by our customers who accept reassignment and bear the risk of loss of reimbursement when collecting from payers. As a result, our service fees do not fluctuate or change based solely on changes in Medicare or Medicaid reimbursement levels. Medicare reimbursement rules generally provide that the proper Medicare carrier to pay physicians’ claims is the Medicare carrier for the region in which the physician or practice providing the service is located rather than the Medicare carrier for the region in which the patient receiving the services is located. Many of our affiliated radiologists are located in a Medicare region that is different from the Medicare region in which the patients and treating hospitals are located. It may be necessary for our customers to enroll with additional Medicare carriers to properly submit claims for reimbursement. CMS has stated that for certain interpretation services provided to certain customers, reimbursement will be based upon the location of the interpreting physician, yet that reimbursement will be made by the Medicare carrier for the region in which the patient and facility are located. Whether this policy will be expanded to other types of interpretation services and facilities is unclear.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and certain foreign jurisdictions, there have been, and we expect there will continue to be, a number of legislative and regulatory changes to the healthcare system. In March 2010, the ACA was signed into law and substantially changed the way healthcare is financed by both governmental and private insurers in the United States. The ACA contains a number of provisions, including those governing enrollment in federal healthcare programs, reimbursement adjustments and fraud and abuse changes. Additionally, the ACA imposed, among other things, a new federal excise tax on the sale of certain medical devices, which, through a series of legislative amendments, was suspended, effective January 1, 2016, and subsequently repealed altogether on December 20, 2019,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and we expect there will be additional challenges and amendments to the ACA in the future. By way of example, in 2017, Congress enacted the TCJA, which eliminated the tax-based shared responsibility payment imposed by the ACA on certain individuals who fail to maintain qualifying health coverage for all or part of a year that is commonly referred to as the “individual mandate.” On December 14, 2018, a Texas U.S. District Court Judge (the “Texas District Court Judge”) ruled that the individual mandate is a critical and inseverable feature of the ACA, and therefore, because it was repealed as part of the TCJA, the remaining provisions of the ACA are invalid as well. On June 17, 2021, the U.S. Supreme Court held that state and individual plaintiffs did not have standing to challenge the individual mandate provision of the ACA; in so holding, the Supreme Court did not consider larger constitutional questions about the validity of this provision or the validity of the ACA in its entirety. Another case challenging the ACA’s requirement that private insurers cover certain preventative services is currently pending before the Texas District Court Judge. The Texas District Court Judge struck down this requirement with immediate nationwide effect on March 30, 2023, and the U.S. government has appealed the decision to the U.S. Court of Appeals for the Fifth Circuit. It is unclear how these decisions and appeals, future decisions, subsequent appeals, and other efforts to repeal and replace the ACA will impact the ACA.</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including aggregate reductions of Medicare payments to providers of 2% per fiscal year, which was temporarily suspended from May 1, 2020 through March 31, 2022, followed by a 1% reduction in effect from April 2022 through June 2022 with the full 2% reduction resuming thereafter, and reduced payments to several types of Medicare providers. We believe the overall escalating cost of medical products and services being paid for by the government and private health insurance has led to, and will continue to lead to, increased pressures on the healthcare and medical device industry to reduce the costs of products and services.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Privacy and Security</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Medical device companies may be subject to U.S. federal and state and foreign health information privacy, security and data breach notification laws, which may govern the collection, use, disclosure and protection of health-related and other personal information. In the United States,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 maintain or transmit protected health information in connection with providing a service for or on behalf of a covered entity. HIPAA and its respective implementing regulations, including the final omnibus rule published on January 25, 2013, impose specified requirements relating to the privacy, security and transmission of individually identifiable health information. HIPAA mandates the reporting of certain breaches of health information to HHS, affected individuals, and if the breach is large enough, the media. Entities that are found to be in violation of HIPAA as the result of a breach of unsecured protected health information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The Health Information Technology For Economic and Clinical Health Act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Another example of recent U.S. data security requirements is FDORA, which, among other provisions, requires developers of certain “cyber devices” to design and implement plans to monitor, identify and address cybersecurity vulnerabilities of those devices and to submit those plans to the FDA as part of every new product application for a cyber device. “Cyber devices” are defined as devices that include software, connect to the internet, and contain any technological features that could be vulnerable to cybersecurity threats. This provision entered into effect on March 29, 2023, and FDA has indicated that it expects sponsors of cyber devices to begin to comply with these requirements as of October 1, 2023.</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certain state and non-U.S. laws, such as the GDPR/UK GDPR, govern the privacy and security of health information in certain circumstances, some of which are more stringent or broader in scope than HIPAA and many of which differ from each other in significant ways and may not have the same effect, thus complicating compliance efforts. Further, “business associates,” defined as independent contractors or agents of covered entities that create, receive, maintain or transmit protected health information in connection with providing a service for or on behalf of a covered entity, are also subject to certain HIPAA privacy and security standards. Failure to comply with these laws, where applicable, can result in the imposition of significant civil and/or criminal penalties and private litigation. For example, California enacted the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PHI maintained by a covered entity or business associate, it may regulate or impact our expected processing of personal information depending on the context. Further, the California Privacy Rights Act (CPRA)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The majority of the provisions went into effect on January 1, 2023, and additional compliance investment and potential business process changes may be required. In Europe, the GDPR went into effect in May 2018 and introduces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Relatedly, following the United Kingdom’s withdrawal from the European Economic Area and the European Union, and the expiry of the transition period, companies have to comply with both the UK GDPR and the GDPR, the latter regime having the ability to separately fine up to the greater of £17.5 million or 4% of global turnover. The State of Israel has also implemented data protection laws and regulations, including the Israeli Protection of Privacy Law of 1981.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we plan to market and deploy our Nanox System broadly across the globe, we will be subject to regulations applicable to medical and radiation-emitting devices in the jurisdictions in which we operate, which regulations vary among countries. While some countries’ regulations may not impose barriers to marketing and selling our products or only require certain notification, others may require that we obtain the clearance, registration or approval of a specified regulatory body. Process for obtaining such clearance, registration or approvals may involve additional testing and time. Furthermore, complying with foreign regulatory requirements can be expensive and time-consuming, and we will need to seek for regulatory clearances or approvals in each country in which we plan to market our products.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depending on the country, if we modify our products, we may need to apply for additional regulatory clearances or approvals before we are permitted to sell the modified product. Also, for maintaining our authorizations in a particular country, we will need to continue meeting quality and safety standards required in such country.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Finally, while regulatory clearance or approval by the FDA does not ensure registration, clearance or approval by regulatory authorities in other countries, registration or regulatory clearance or approval in one country, or denial thereof, may have effects on the regulatory process in others.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our business.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2020, two securities class action complaints were filed in the United States District Court for the Eastern District of New York against the Company and certain then-current officers and a director, which were subsequently consolidated and captioned as </w:t>
      </w:r>
      <w:r>
        <w:rPr>
          <w:rFonts w:ascii="Times New Roman" w:cs="Times New Roman" w:eastAsia="Times New Roman" w:hAnsi="Times New Roman"/>
          <w:sz w:val="18"/>
          <w:szCs w:val="18"/>
          <w:i w:val="1"/>
          <w:iCs w:val="1"/>
          <w:color w:val="auto"/>
        </w:rPr>
        <w:t>White v. Nano-X Imaging Ltd.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Case No. 1:20-cv-04355, alleging violations of securities laws on behalf of all persons and entities that purchased or otherwise acquired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publicly traded securities between August 21, 2020 and September 15, 2020, and seeking unspecified damages. On December 7, 2020, proposed lead plaintiffs submissions were fully briefed, on August 10, 2022, Magistrate Judge Marcia M. Henry issued a Report and Recommendation, recommending that the Court approve Derson O. Jolteus and Edward Ko as lead plaintiffs, and on August 30, 2022, Judge William Kuntz adopted the Report and Recommendation. On June 24, 2022, the Company moved to consolidate this action with the action captioned </w:t>
      </w:r>
      <w:r>
        <w:rPr>
          <w:rFonts w:ascii="Times New Roman" w:cs="Times New Roman" w:eastAsia="Times New Roman" w:hAnsi="Times New Roman"/>
          <w:sz w:val="18"/>
          <w:szCs w:val="18"/>
          <w:i w:val="1"/>
          <w:iCs w:val="1"/>
          <w:color w:val="auto"/>
        </w:rPr>
        <w:t>McLaughlin v. Nano-X Imaging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Ltd. et al</w:t>
      </w:r>
      <w:r>
        <w:rPr>
          <w:rFonts w:ascii="Times New Roman" w:cs="Times New Roman" w:eastAsia="Times New Roman" w:hAnsi="Times New Roman"/>
          <w:sz w:val="18"/>
          <w:szCs w:val="18"/>
          <w:color w:val="auto"/>
        </w:rPr>
        <w:t>, Case No: 1:21-cv-05517, discussed further below. The Company’s motion to consolidate remains outstanding. On October 31, 2022, Lead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Plaintiffs filed an amended complaint, which alleges that defendants violated the federal securities laws in connection with certain disclosures regarding the Company’s FDA submission and customer contracts. Lead Plaintiffs seek to represent a class of investors who purchased the Company’s publicly traded securities between August 21, 2020 and September 15, 2020. On February 3, 2023, the Company moved to stay this action in favor of the McLaughlin action, or, in the alternative, until the Company’s pending motion to consolidate was decided. The Company has not yet responded to the amended complaint.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October 5, 2021, a class action complaint was filed in the United States District Court for the Eastern District of New York against the Company and certain of its officers, captioned </w:t>
      </w:r>
      <w:r>
        <w:rPr>
          <w:rFonts w:ascii="Times New Roman" w:cs="Times New Roman" w:eastAsia="Times New Roman" w:hAnsi="Times New Roman"/>
          <w:sz w:val="18"/>
          <w:szCs w:val="18"/>
          <w:i w:val="1"/>
          <w:iCs w:val="1"/>
          <w:color w:val="auto"/>
        </w:rPr>
        <w:t>McLaughlin v. Nano-X Imaging Ltd. et al</w:t>
      </w:r>
      <w:r>
        <w:rPr>
          <w:rFonts w:ascii="Times New Roman" w:cs="Times New Roman" w:eastAsia="Times New Roman" w:hAnsi="Times New Roman"/>
          <w:sz w:val="18"/>
          <w:szCs w:val="18"/>
          <w:color w:val="auto"/>
        </w:rPr>
        <w:t xml:space="preserve">, Case No. 1:21-cv-05517. On January 25, 2022, Magistrate Judge Peggy Kuo appointed Davian Holdings Limited as Lead Plaintiff in the </w:t>
      </w:r>
      <w:r>
        <w:rPr>
          <w:rFonts w:ascii="Times New Roman" w:cs="Times New Roman" w:eastAsia="Times New Roman" w:hAnsi="Times New Roman"/>
          <w:sz w:val="18"/>
          <w:szCs w:val="18"/>
          <w:i w:val="1"/>
          <w:iCs w:val="1"/>
          <w:color w:val="auto"/>
        </w:rPr>
        <w:t>McLaughlin v. Nano-X Imaging Ltd. et al</w:t>
      </w:r>
      <w:r>
        <w:rPr>
          <w:rFonts w:ascii="Times New Roman" w:cs="Times New Roman" w:eastAsia="Times New Roman" w:hAnsi="Times New Roman"/>
          <w:sz w:val="18"/>
          <w:szCs w:val="18"/>
          <w:color w:val="auto"/>
        </w:rPr>
        <w:t>, Case No. 1:21-cv-05517. On April 12, 2022 and in the same case, the Lead Plaintiff filed an amended complaint, which alleges that defendants violated the federal securities laws in connection with certain disclosures concerning the cost of the Nanox.ARC system as well as the comparison of the Nanox.ARC to CT scanners. Lead Plaintiff seeks to represent a class of investors who purchased the Company’s publicly-traded securities between August 21, 2020 and November 17, 2021. The Company moved to dismiss the amended complaint, and briefing on that motion was completed on September 9, 2022, and it remains outstanding. On April 28, 2023, the Company signed a term sheet with Lead Plaintiffs in both this action and the above-referenced consolidated White action to settle all claims in both actions. The settlement is subject to finalization of a formal settlement agreement and court approval of the settlement.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Division of Enforcement of the SEC notified the Company that it is conducting an investigation to determine whether there had been any violations of the federal securities laws. The Company has been providing documents and information to the SEC and has received a subpoena from the SEC requesting that the Company provide documents and other information relating to the development cost of the Company’s Nanox.ARC prototypes, as well as the Company’s estimate for the cost of assembling the final Nanox.ARC product at scale, among other things. The Company is cooperating with the SEC in responding to its requests. The duration and outcome of this matter cannot be predicted at this time and the Company is unable to estimate a loss or range of loss of this investigation.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28, 2021, a complaint was filed in the United States District Court for the Central District of California against the Company, the Company’s recently-formed Delaware subsidiary and Nanox Gibraltar PLC (“Gibraltar”) from which the Company received certain assets, as well as Mr. Ran Poliakine and certain other unidentified parties, alleging several causes of action including breach of a consulting agreement between the plaintiff and Gibraltar that was entered into in 2015. The plaintiff demanded payment of unpaid consulting fees from Gibraltar in the amount of approximately $1 million and approximately $29.5 million from the Company relating to his claimed entitlement to warrants in Gibraltar. On February 15, 2022, the Company moved to dismiss the complaint on the grounds, among others, that it was not a party to the agreement with the plaintiff, and it is not Gibraltar’s legal successor for any liabilities that Gibraltar may owe to the plaintiff. On June 4, 2022, the Court granted the motion to dismiss with leave to amend. The plaintiff did not amend the complaint, and on July 20, 2022, the Court entered judgment in the Company’s favor.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5, 2022, a complaint was filed in the Court of Common Pleas of Washington County, Pennsylvania against several defendants, including Dr. Michael Yuz and USARAD, alleging medical negligence due to the failure to properly diagnose metastatic breast cancer. Dr Yuz’s only involvement in the case was on July 18, 2017, prior to our acquisition of USARAD, when he reviewed and interpreted an imaging study, identified a lesion and referred for an additional imaging. The only claim against USARAD is for vicarious liability based on Dr. Yuz’s involvement, as an employee of USARAD. We intend to vigorously defend this matter.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2022, we accrued $8 million for future settlement expenses in connection with the two pending class action lawsuits against the Company. We are unable to estimate a range of loss, if any, that could result were there to be an adverse final outcome in the SEC investigation or civil liability complaint. If an unfavorable outcome were to occur, it is possible that the impact could be material to our results of operations in the period in which any such outcome becomes probable and estimable.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NANO-X IMAGING LTD, an Israeli Company (“Nanox IL”), was incorporated on December 20, 2018 and commenced its operations on September 3, 2019.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September 19, 2019, Nanox IL established Nanox Imaging Inc. (“Nanox Japan”), a wholly owned subsidiary in Japan.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September 25, 2020, Nanox IL established Nano-X Korea Inc. (“Nanox Korea”), a wholly owned subsidiary in Korea.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September 13, 2021, Nanox IL established Nano-X Imaging Inc (“Nanox Inc.”), a wholly owned Delaware subsidiary. On November 2, 2021, Nanox Inc. completed the acquisition of 100% of the shares of USARAD Holdings, Inc. (“USARAD”), a Delaware corporation.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September 30, 2021, Nanox Inc. established a new wholly-owned Delaware subsidiary, Nano-X MDW Inc, which owns the platform and other assets purchased by us from MDWEB, LLC on November 3, 2021.</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November 4, 2021, Nanox IL purchased all the shares of Nano-X AI Ltd. (“Nanox AI”), an Israeli company formerly named Zebra Medical Vision Ltd. Nanox AI has a wholly owned Delaware subsidiary named Nanox-X AI Inc.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23, 2021, USARAD established another wholly-owned Delaware subsidiary Nanox RAD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Plants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executive offices are located in a leased facility in Neve Ilan, Israel.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lease approximately 550 square meters (approximately 5,920 square feet) of office space and warehouses. The original lease expired in December 2021, and the Company exercised the option to extend its lease for an additional 24 months until December 31, 2023.</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approximately 620 square meters (approximately 6,670 square feet) of office space in Neve Ilan, Israel, that may be used for offices and technical development. The lease expires in June 2023. In November 2020, we leased an additional approximately 370 square meters (approximately 3,980 square feet) of office space in Neve Ilan, Israel. This lease also expires in June 2023.</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2022, we signed a new agreement to lease 105 square meters (approximately 1,130 square feet) of office space in Neve Ilan, Israel, until February 2025. In September 2022, we leased an additional approximately 60 square meters (approximately 645 square feet) of office space in Neve Ilan, Israel, that may be used for technical development. This lease expires in August 2028.</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Nanox Japan (predecessor) leases additional facilities of approximately 740 square feet of lab space and approximately 190 square feet of space in a clean room at the premises of the University of Tokyo for research and development activities. The lease automatically renews on a semi-annual basis.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Nanox Inc. leases office space of approximately 2,300 square feet in Fort Lee, New Jersey. The monthly rent payment for this agreement is approximately $6,000.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December 2020, we purchased approximately 11,889 square meters of land in Yongin, Geonggi province, Korea, on which we built our fabrication facility for approximately $6.2 million, which is operational.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Nanox AI leases approximately 841 square meters of office space under an operating lease agreement that expires on November 30, 2024. The monthly rent payment for this agreement is approximately $19,000.</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USARAD leases approximately 6,000 square feet in Oakland Park, Broward County, Florida, under a lease agreement that expires on December 31, 2027. The monthly rent payment for this agreement is approximately $12,000.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Operating and Financial Review and Prospects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audited consolidated financial statements and the related notes included elsewhere in this annual report on Form 20-F.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“Item 3. Key Information—D. Risk Factors” and in other parts of this annual report on Form 20-F. Our consolidated financial statements have been prepared in accordance with U.S. GAAP. The functional currency of NANO-X IMAGING LTD is the U.S. dollar.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Early detection saves lives—and we at Nanox are focused on applying our proprietary medical imaging technology and solutions to make diagnostic medicine more accessible and affordable across the globe. We are developing an end-to-end imaging service solution, which includes the Nanox System, comprised of the Nanox.ARC using our novel MEMs X-ray source technology, and the Nanox.CLOUD, a companion cloud software, integrated with AI solutions and teleradiology services. Our vision is to increase early detection of medical conditions that are discoverable by X-ray by improving access to imaging, reducing imaging costs and enhancing imaging efficiency, which we believe is key to increasing early prevention and treatment, improving health outcomes and, ultimately, saving lives.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imaging solution is designed as a modular open system, and we intend in the future to explore the expansion of the solution to include additional components, which may be developed by us or third parties. Following receipt of clearance from the FDA, and if cleared by the requisite regulatory authorities in other jurisdictions, we plan to market and deploy the Nanox System broadly across the globe at a substantially lower cost compared to currently available medical imaging systems, such as CT. We believe that, if cleared by the requisite regulatory authorities, as the Nanox.ARC (including the Nanox.CLOUD) was cleared for marketing by the FDA, our technology’s relatively low cost will enable us to increase accessibility and affordability of early-detection medical imaging systems globally, substantially reduce wait-times for imaging results and increase early detection rates compared to currently employed imaging process protocol.</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devoted substantially all of our financial resources to acquiring the base technology for our X-ray source and related know-how, our AI solutions and our teleradiology services, conducting research and development activities, organizing and staffing our company, developing our business plan, securing related intellectual property rights and raising capital. Historically, we have funded our operations primarily with proceeds from the sale of our ordinary shares and warrants (after September 3, 2019) and those of our predecessor company (prior to September 3, 2019). During the years ended December 31, 2022, 2021 and 2020, we received net cash proceeds of $0.8 million, $7.4 million and $241.0 million, respectively, from the sales of our and our predecessor’s ordinary shares. In the year ended December 31, 2021, we began to generate revenues through the sale of teleradiology services and the sale of AI solutions, following the completion of the merger with Zebra, renamed Nanox AI Ltd., and the acquisitions of USARAD and the assets of MDWEB in November 2021.</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Our ability to achieve profitability depends on the successful development and commercialization of our technology and our products. We incurred net losses of $113.2 million, $61.8 million, and $43.8 million for the years ended December 31, 2022, 2021 and 2020, respectively. As of December 31, 2022 and 2021, we had an accumulated deficit of $259.5 million and $146.2 million, respectively. We expect to continue to incur significant expenses for at least the next several years as we advance the Nanox System through further development, regulatory approval and commercial deployment. Following obtaining marketing clearance for the multi-source Nanox.ARC, we expect to incur significant capital expenditures and commercialization expenses related to product manufacturing, marketing, sales, regulation, distribution and support. In addition, we continue to incur additional costs associated with operating as a public company, including significant legal, accounting, investor relations and other expenses.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goal is to jumpstart the MSaaS-based medical imaging market by producing and deploying an initial wave of approximately 15,000 Nanox System units within three years following receipt of clearance from the FDA for our multi-source Nanox.ARC (including the Nanox.CLOUD). We expect to incur significant expenses for the manufacturing, installation, deployment, repairs, and maintenance of the Nanox System. As a result, we may need substantial funding to support our continuing operations and pursue our business strategy before we can generate significant revenues. Until such time as we can generate significant revenue from sales of services, we expect to finance our operations through the sale of equity, debt financings or other capital sources, including collaborations, strategic partnerships or marketing, distribution or licensing arrangements with third parties.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systems and products or delay our pursuit of potential in-licenses or acquisitions.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2022, we had marketable securities, cash and cash equivalents of $102.9 million. We believe that our cash on hand and cash equivalents will enable us to fund our operating expenses and capital expenditure requirements for at least the next twelve months from the date of issuance of the financial statements. We have based this estimate on assumptions that may prove to be wrong, and we could exhaust our capital resources sooner than we expect. See “Item 5. Operating and Financial Review and Prospects—B. Liquidity and Capital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2022, we issued (i) 89,286 of our ordinary shares to the former shareholders of Nanox AI due to the partial achievement of a milestone that occurred following the closing of the acquisition of Nanox AI pursuant to the terms of the Zebra Merger Agreement and (ii) an additional 2,648,424 ordinary shares to the former shareholders of Nanox AI with respect to any additional amount that could be granted under the Zebra Merger Agreement pursuant to a settlement agreement between us and the former shareholders of Nanox AI.</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28, 2023, the Company and Dr. Michael Yuz, as the representative of the former stockholders of USARAD, entered into the first amendment to the USARAD SPA, according to which the parties to the USARAD SPA agreed that (i) the Company shall pay to the former stockholders of USARAD an aggregate amount of $290,063 in cash and 45,392 ordinary shares, in consideration for the achievement of certain milestones in connection with the first earn out period, as defined and in accordance with in the USARAD SPA; and (ii) the rights and obligations under the USARAD SPA regarding the remaining earn out periods were amended such that the parties agreed that the Company shall pay to the former stockholders of USARAD an aggregate amount of $500,000 in cash and 210,000 ordinary shares as consideration for the remainder of the milestones and applicable earn-outs under the USARAD SPA. As a result of the amendment to the USARAD SPA, obligations of the Company and the rights of the former stockholders of USARAD relating to the purchase price (including the earn-outs) under the USARAD SPA have been satisfied in full.</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these acquisitions, including the consideration that we paid and is payable in connection with these acquisitions, see “Item 4. Information on the Company—A. History and Development of the Company.” Beginning in the year ended December 31, 2021 and continuing in the year ended December 31, 2022, we began to generate revenues through the sale of teleradiology services and the sale of AI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began to generate revenues in year ended December 31, 2021, through the sale of teleradiology services and the sale of AI solutions, following the completion of the merger with Nanox AI, and the acquisitions of USARAD and the assets of MDWEB in November 2021. The majority of our revenues are derived from our teleradiology services, which consist primarily of fees received from various payors based on established billing rates, and also of fees from hospitals and healthcare providers. We recognize revenue in the period in which performance obligations are satisfied by providing services to our customers, and record the amount of revenue that reflects the consideration that we expect to receive in exchange for those services. We have not generated any revenue to date from sales of the Nanox System.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Cost of the sale of teleradiology services mainly consists of the cost of radiologists and the cost of picture archiving and communication software (a medical imaging technology used to securely store and digitally transmit electronic images and clinical reports). The cost of the sale of AI solutions mainly consists of the cost of labor and amortization of intangible assets. In 2022, the cost of revenue through the sale of AI solutions consisted mainly of salaries and wages expense in the amount of $0.5 million, and amortization of intangible assets of $8.0 million. In 2021, the cost of revenue through the sale of AI solutions consisted mainly of salaries and wages expense in the amount of $0.4 million and amortization of intangible assets of $1.3 million. The amortization of intangible assets is the periodic amortization expense with regards to the acquisition of the shares of Nanox AI since the date of acquisition through the year end.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products. These expenses include:</w:t>
      </w:r>
    </w:p>
    <w:p>
      <w:pPr>
        <w:spacing w:after="0" w:line="162" w:lineRule="exact"/>
        <w:rPr>
          <w:sz w:val="20"/>
          <w:szCs w:val="20"/>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share-based compensation expenses for employees engaged in research and development activities;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development of our systems and solutions, including payments made pursuant to agreements with third parties, such as outside consultants related to process development and manufacturing activities, as well as patent registrations;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components and materials that are used to develop our systems, including payments made pursuant to agreements with third parties;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laboratory supplies incurred;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including direct or allocated expenses for rent and maintenance of facilities, as well as insurance costs;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clinical and regulatory requirements.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external development costs based on an evaluation of the progress to completion of specific tasks using information provided to us by our suppliers and service providers. Upfront payments, milestone payments (other than those deemed contingent consideration in a business combination) and annual maintenance fees under license agreements are expensed in the period in which they are incurred.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We expect that our research and development expenses will increase substantially over the next several years as we continue the development and improvement of the Nanox System. We expect to continue to devote a substantial portion of our resources to the Nanox.ARC multi-source system, the Nanox.CLOUD, the Nanox.MARKETPLACE, our AI solutions and our future systems and solutions for the foreseeable future.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successful development and commercialization of our systems are highly uncertain. At this time, we cannot reasonably estimate or know the nature, timing and costs of the efforts that will be necessary to complete the development for commercialization of any of our products. This uncertainty is due to the numerous risks and uncertainties associated with product development and commercialization, including the uncertainty of:</w:t>
      </w:r>
    </w:p>
    <w:p>
      <w:pPr>
        <w:spacing w:after="0" w:line="176" w:lineRule="exact"/>
        <w:rPr>
          <w:sz w:val="20"/>
          <w:szCs w:val="20"/>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activities to improve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regulatory approvals from applicable regulatory authorities, especially if there will be a need for independent clinical trials or validation;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products, including the Nanox.ARC, the Nanox.CLOUD and our AI solutions, whether alone or in collaboration with others;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or improvement of our products could result in a significant change in the costs and timing associated with the deployment of these products. For example, if the FDA or another regulatory authority were to require us to conduct clinical trials or other testing beyond what we currently expect, we could be required to expend significant time, personnel and additional financial resources to complete development of our products. We may never obtain regulatory approval for any of our products and third parties may never obtain regulatory approvals for any products containing our technology.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color w:val="auto"/>
        </w:rPr>
        <w:t>Marketing and Selling Expenses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Marketing and selling expenses consist of cost of labor, public relations, participation in conferences and other general marketing and selling expenses.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anticipate that our selling and marketing expenses will increase as we begin the commercial deployment of our systems.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related benefits and share-based compensation expense for personnel in executive, finance and administrative functions. General and administrative expenses also include facilities, depreciation and other expenses, which include direct or allocated expenses for rent and maintenance of facilities and insurance, as well as professional fees for legal, patent, consulting, investor and public relations, accounting and audit services.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as we increase our headcount to support our continued research and development activities and commercialization of our products. We also incur accounting, audit, legal, regulatory, compliance, directors’ and officers’ liability insurance and investor and public relations costs associated with being a public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results of operations for the years ended December 31, 2022 and 2021,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summarizes our revenue incurred during the periods presented: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8"/>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0"/>
                <w:szCs w:val="20"/>
                <w:color w:val="auto"/>
              </w:rPr>
            </w:pPr>
          </w:p>
        </w:tc>
      </w:tr>
      <w:tr>
        <w:trPr>
          <w:trHeight w:val="194"/>
        </w:trPr>
        <w:tc>
          <w:tcPr>
            <w:tcW w:w="8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Teleradiology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8,235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AI</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8,578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1,304</w:t>
            </w: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we reported revenue of $8.6 million, compared to $1.3 million for the year ended December 31, 2021. During the year ended December 31, 2022, we generated revenue through the sale of teleradiology services in the amount of $8.2 million and the sale of AI solutions in the amount of $0.3 million. During the year ended December 31, 2021, we generated revenue through the sale of teleradiology services in the amount of $1.0 million and the sale of AI solutions in the amount of $0.3 million. The increase in revenue was mainly due to the consolidation of both the teleradiology services and AI solutions divisions for the full year ended December 31, 2022 as compared to only two months during the year ended December 31, 2021 following the acquisitions in November 2021, as well as an increase of approximately 33% in the sales of our teleradiology business segment on an annualized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our cost of revenue incurred during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35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8"/>
        </w:trPr>
        <w:tc>
          <w:tcPr>
            <w:tcW w:w="35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0"/>
                <w:szCs w:val="20"/>
                <w:color w:val="auto"/>
              </w:rPr>
            </w:pPr>
          </w:p>
        </w:tc>
      </w:tr>
      <w:tr>
        <w:trPr>
          <w:trHeight w:val="194"/>
        </w:trPr>
        <w:tc>
          <w:tcPr>
            <w:tcW w:w="35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Teleradiology services</w:t>
            </w:r>
          </w:p>
        </w:tc>
        <w:tc>
          <w:tcPr>
            <w:tcW w:w="5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6,933</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AI</w:t>
            </w:r>
          </w:p>
        </w:tc>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8,525</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1,816</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15,458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2,816</w:t>
            </w:r>
          </w:p>
        </w:tc>
      </w:tr>
      <w:tr>
        <w:trPr>
          <w:trHeight w:val="655"/>
        </w:trPr>
        <w:tc>
          <w:tcPr>
            <w:tcW w:w="35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5" w:right="339" w:bottom="1440" w:gutter="0" w:footer="0" w:header="0"/>
        </w:sectPr>
      </w:pPr>
    </w:p>
    <w:bookmarkStart w:id="79" w:name="page80"/>
    <w:bookmarkEnd w:id="7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2022, we reported cost of revenue of $15.5 million, compared to $2.8 million for the year ended December 31, 2021. During the year ended December 31, 2022, we incurred cost of revenue through the sale of teleradiology services in the amount of $6.9 million and the sale of AI solutions in the amount of $8.5 million. The cost of revenue through the sale of AI solutions consisted mainly of salaries and wages and share based compensation expenses in the amount of $0.5 million and amortization of intangible assets of $8.0 million. The amortization of the intangible assets of developed technology and image big data is the periodic amortization expense with regard to the acquisition of the shares of Nanox AI since the date of acquisition through the year end. As a result, the cost of revenue recognized for the AI Solutions segment significantly exceeds the amount of revenue recognized. The cost of revenue through the sale of teleradiology services consisted mainly of cost of radiologists’ expenses in the amount of $4.0 million and amortization of intangible assets of $2.2 million.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we incurred cost of revenue through the sale of teleradiology services in the amount of $1.0 million and the sale of AI solutions in the amount of $1.8 million. During 2021, the cost of revenue through the sale of AI solutions consisted mainly of salaries and wages expense in the amount of $0.4 million and amortization of intangible assets of $1.4 million. During 2021, the cost of revenue through the sale of teleradiology services consisted mainly of cost of the radiologists’ expenses in the amount of $0.5 million and amortization of intangible assets of $0.4 million.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Gross Loss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summarizes our gross loss incurred from each segment during the periods presented:</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8"/>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0"/>
                <w:szCs w:val="20"/>
                <w:color w:val="auto"/>
              </w:rPr>
            </w:pPr>
          </w:p>
        </w:tc>
      </w:tr>
      <w:tr>
        <w:trPr>
          <w:trHeight w:val="194"/>
        </w:trPr>
        <w:tc>
          <w:tcPr>
            <w:tcW w:w="8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Nanox.ARC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Teleradiology services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(1,546)</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(1,512)</w:t>
            </w: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we reported a gross loss of $6.9 million, compared to a gross loss of $1.5 million for the year ended December 31, 2021. Our gross profit from teleradiology services for the year ended December 31, 2022 was $1.3 million. Our gross loss from our AI solutions for the year ended December 31, 2022, was $8.2 million. Our gross profit from teleradiology services for the year ended December 31, 2021, was $0.0 million. Our gross loss from our AI solutions for the year ended December 31, 2021 was $1.5 million.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summarizes our research and development expenses incurred during the periods presented: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160" w:type="dxa"/>
            <w:vAlign w:val="bottom"/>
          </w:tcPr>
          <w:p>
            <w:pPr>
              <w:spacing w:after="0"/>
              <w:rPr>
                <w:sz w:val="20"/>
                <w:szCs w:val="20"/>
                <w:color w:val="auto"/>
              </w:rPr>
            </w:pPr>
          </w:p>
        </w:tc>
        <w:tc>
          <w:tcPr>
            <w:tcW w:w="23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12,486</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4,806</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 professional services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5,644</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3,571</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26,507</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17,122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$9.4 million to $26.5 million for the year ended December 31, 2022, from $17.1 million for the year ended December 31, 2021. The increase in research and development expenses was primarily attributable to the increase of $4.8 million due to the merger with Nanox AI, increase in salaries and wages in the amount of $2.3 million and the increase in share-based compensation of $0.4 million as we continued to expand our research and development activities relating to the Nanox System.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summarizes our sales and marketing expenses incurred during the periods presented: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Sales and Marketing Expenses:</w:t>
            </w:r>
          </w:p>
        </w:tc>
        <w:tc>
          <w:tcPr>
            <w:tcW w:w="160" w:type="dxa"/>
            <w:vAlign w:val="bottom"/>
          </w:tcPr>
          <w:p>
            <w:pPr>
              <w:spacing w:after="0"/>
              <w:rPr>
                <w:sz w:val="20"/>
                <w:szCs w:val="20"/>
                <w:color w:val="auto"/>
              </w:rPr>
            </w:pPr>
          </w:p>
        </w:tc>
        <w:tc>
          <w:tcPr>
            <w:tcW w:w="23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1,134</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997</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activities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$2.6 million to $4.4 million for the year ended December 31, 2022, from $7.0 million for the year ended December 31, 2021. The decrease in sales and marketing expenses was primarily attributable to a decrease in salaries in the amount of $0.6 million and share-based compensation in amount of $1.4 and sales and marketing activities in the amount of $0.6 million.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summarizes our general and administrative expenses incurred during the periods presented: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60" w:type="dxa"/>
            <w:vAlign w:val="bottom"/>
          </w:tcPr>
          <w:p>
            <w:pPr>
              <w:spacing w:after="0"/>
              <w:rPr>
                <w:sz w:val="20"/>
                <w:szCs w:val="20"/>
                <w:color w:val="auto"/>
              </w:rPr>
            </w:pPr>
          </w:p>
        </w:tc>
        <w:tc>
          <w:tcPr>
            <w:tcW w:w="23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8,180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12,721</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and officers’ insurance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4,139</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3,234</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in connection with the SEC inquiry and class actions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7,730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Legal fees</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1,055</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Maintenance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2,388</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41,250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34,709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to $41.3 million for the year ended December 31, 2022, from $34.7 million for the year ended December 31, 2021. The increase in general and administrative expenses was primarily attributable to an increase of approximately $1.1 million due to the merger with Nanox AI, and the acquisitions of USARAD and the assets of MDWEB, and an increase of approximately $4.5 million in legal fees primarily due to the SEC inquiry and class-actions, which was mitigated by a decrease of $0.3 million in our directors’ and officers’ liability insurance premium and a decrease of $0.5 million in our professional services.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obligation in connection of acquisitions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Change in obligation in connection of acquisitions was $20.4 million for the year ended December 31, 2022, as compared to none for the year ended December 31, 2021, due to the decrease in our contingent earnout liabilities in connection of acquisitions in the same amount, mainly due to the issuance of 89,286 of our ordinary shares to the former equity holders of Nanox AI due to the achievement of a milestone pursuant to the terms of the Zebra Merger Agreement and the issuance of additional 2,648,424 ordinary shares under a settlement with respect to any additional amount that could be granted under the Zebra Merger Agreement.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28, 2023, the Company and Dr. Michael Yuz, as the representative of the former stockholders of USARAD, entered into the first amendment to the USARAD SPA, according to which the parties to the USARAD SPA agreed that (i) the Company shall pay to the former stockholders of USARAD an aggregate amount of $290,063 in cash and 45,392 ordinary shares, in consideration for the achievement of certain milestones in connection with the first earn out period, as defined in and in accordance with the USARAD SPA; and (ii) the rights and obligations under the USARAD SPA regarding the remaining earn out periods were amended such that the parties agreed that the Company shall pay to the former stockholders of USARAD an aggregate amount of $500,000 in cash and 210,000 ordinary shares as consideration for the remainder of the milestones and applicable earn-outs under the USARAD SPA. As a result of the amendment to the USARAD SPA, obligations of the Company and the rights of the former stockholders of USARAD relating to the purchase price (including the earn-outs) under the USARAD SPA have been satisfied in full.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Goodwill impairment for the year ended December 31, 2022 was $50.9 million due to the goodwill impairment related to the Nanox AI reporting unit. There was no goodwill impairment for the year ended December 31, 2021.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second quarter of 2022, in light of triggering events arising from the increase of the discount rate and changes in our estimates as a result of business specific considerations, we performed a quantitative interim assessment for goodwill impairment for our AI solutions reporting unit. The amount of goodwill assigned to the AI solutions reporting unit on the interim testing date, which had not changed from the amount assigned to such unit on the acquisition date, was $51.2 million.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When evaluating the fair value of the AI solutions reporting unit under the income approach, we used a discounted cash flow model which utilized Level 3 measures that represent unobservable inputs. Key assumptions used to determine the estimated fair value include: (a) internal cash flows forecasts for 5 years following the assessment date, including expected revenue growth, costs to sales and operating expenses; (b) an estimated terminal value using a terminal year long-term future growth rate of 3.0% determined based on the growth prospects of the reporting unit; and (c) a discount rate of 22.0% which reflects the weighted-average cost of capital adjusted for the relevant risk associated with the AI solutions reporting unit’s operations and the uncertainty inherent in our internally developed forecasts. Specifically, as part of our interim impairment test, in making the assumptions mentioned in clauses (a) and (b) above, we considered (1) the efforts and time required for the AI solutions reporting unit to achieve financial stability, (2) our estimate that it would take approximately one year for such unit to generate any material revenue and two years to achieve profitability; and (3) our estimate that it would take longer than we originally expected for such unit to generate material revenues, gross profit, and positive operating cash flows, especially from its population health applications. As a result of the impairment assessment, we concluded that the fair value of the AI solutions reporting unit decreased below its carrying value by 11.61%, and therefore we recorded a goodwill impairment charge of $14.3 million in the second quarter of 2022. As a result, the remaining amount of goodwill assigned to the AI solutions reporting unit at June 30, 2022 was $36.9 million.</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fourth quarter of 2022, we performed a qualitative and quantitative annual assessment for goodwill impairment. Based on our qualitative analysis, which considered the AI solutions reporting unit results, projections and additional business and industry specific considerations, we performed a further revision of the estimates of the fair value of the AI solutions reporting unit. As part of this analysis, we also considered the potential impacts of the sensitivity of estimates and assumptions. When evaluating the fair value of the AI solutions reporting unit under the income approach, we used the same discounted cash flow model discussed above; however, in clause (c) the resulting cash flow amounts were discounted using a discount rate of 22.50%. As a result of the impairment assessment, we concluded that the fair value of the AI solutions reporting unit decreased below its carrying value by 34.44%, and therefore, we recorded an additional goodwill impairment charge of $36.6 million in the fourth quarter of 2022. As a result, the amount of goodwill assigned to the AI solutions reporting unit at December 31, 2022 was $0.4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expenses were $8.2 million for the year ended December 31, 2022, and $1.2 million for the year ended December 31, 2021. The increase in other expenses was primarily attributable to the accrual for future settlement in connection with the pending class action lawsuits against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2021 and 2020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results of operations for the years ended December 31, 2021 and 2020,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summarizes our revenue incurred during the periods presented: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38"/>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0"/>
                <w:szCs w:val="20"/>
                <w:color w:val="auto"/>
              </w:rPr>
            </w:pPr>
          </w:p>
        </w:tc>
      </w:tr>
      <w:tr>
        <w:trPr>
          <w:trHeight w:val="194"/>
        </w:trPr>
        <w:tc>
          <w:tcPr>
            <w:tcW w:w="8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Teleradiology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1,034</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AI</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1,304</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we reported revenue of $ 1.3 million, compared to none for the year ended December 31, 2020. During the year ended December 31, 2021, we generated revenues through the sale of teleradiology services in the amount of $1.0 million and the sale of AI solutions in the amount of $0.3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summarizes our cost of revenue incurred during the periods presented: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38"/>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0"/>
                <w:szCs w:val="20"/>
                <w:color w:val="auto"/>
              </w:rPr>
            </w:pPr>
          </w:p>
        </w:tc>
      </w:tr>
      <w:tr>
        <w:trPr>
          <w:trHeight w:val="194"/>
        </w:trPr>
        <w:tc>
          <w:tcPr>
            <w:tcW w:w="8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Teleradiology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AI</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1,816</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2,816</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2021, we reported cost of revenue of $2.8 million, compared to none for the year ended December 31, 2020. During the year ended December 31, 2021, we incurred cost of revenue through the sale of teleradiology services in the amount of $1.0 million and the sale of AI solutions in the amount of $1.8 million. The cost of revenue through the sale of AI solutions consisted mainly of salaries and wages expense in the amount of $0.4 million and amortization of intangible assets of $1.4 million. The amortization of intangible assets is the periodic amortization expense with regards to the acquisition of the shares of Nanox AI since the date of acquisition through the year end. As a result, the cost of revenue recognized for the AI Solutions segment significantly exceeds the amount of revenue recognized.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Gross Loss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summarizes our gross loss incurred from each segment during the periods presented:</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38"/>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0"/>
                <w:szCs w:val="20"/>
                <w:color w:val="auto"/>
              </w:rPr>
            </w:pPr>
          </w:p>
        </w:tc>
      </w:tr>
      <w:tr>
        <w:trPr>
          <w:trHeight w:val="194"/>
        </w:trPr>
        <w:tc>
          <w:tcPr>
            <w:tcW w:w="8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Teleradiology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AI</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we reported a gross loss of $1.5 million, compared to no profit or loss for the year ended December 31, 2020. Our gross profit from teleradiology services for the year ended December 31, 2021 was $0.0 million. Our gross loss from our AI solutions for the year ended December 31, 2021 was $1.5 million.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summarizes our research and development expenses incurred during the periods presented: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160" w:type="dxa"/>
            <w:vAlign w:val="bottom"/>
          </w:tcPr>
          <w:p>
            <w:pPr>
              <w:spacing w:after="0"/>
              <w:rPr>
                <w:sz w:val="20"/>
                <w:szCs w:val="20"/>
                <w:color w:val="auto"/>
              </w:rPr>
            </w:pPr>
          </w:p>
        </w:tc>
        <w:tc>
          <w:tcPr>
            <w:tcW w:w="23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6,047</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3,248</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 professional services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6,072</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1,755</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17,122</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$7.9 million to $17.1 million for the year ended December 31, 2021 from $9.2 million for the year ended December 31, 2020. The increase in research and development expenses was primarily attributable to the increase of $1.7 million due to the merger with Nanox AI, and increases in salaries and wages and professional services of $5.1 million as we continued to expand our research and development activities relating to the Nanox System.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summarizes our sales and marketing expenses incurred during the periods presented: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Sales and Marketing Expenses:</w:t>
            </w:r>
          </w:p>
        </w:tc>
        <w:tc>
          <w:tcPr>
            <w:tcW w:w="160" w:type="dxa"/>
            <w:vAlign w:val="bottom"/>
          </w:tcPr>
          <w:p>
            <w:pPr>
              <w:spacing w:after="0"/>
              <w:rPr>
                <w:sz w:val="20"/>
                <w:szCs w:val="20"/>
                <w:color w:val="auto"/>
              </w:rPr>
            </w:pPr>
          </w:p>
        </w:tc>
        <w:tc>
          <w:tcPr>
            <w:tcW w:w="23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2,442</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business development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2,460</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7,033</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12,445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to $7.0 million for the year ended December 31, 2021, from $12.4 million for the year ended December 31, 2020. The decrease in sales and marketing expenses was primarily attributable to a decrease in share-based compensation.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summarizes our general and administrative expenses incurred during the periods presented: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60" w:type="dxa"/>
            <w:vAlign w:val="bottom"/>
          </w:tcPr>
          <w:p>
            <w:pPr>
              <w:spacing w:after="0"/>
              <w:rPr>
                <w:sz w:val="20"/>
                <w:szCs w:val="20"/>
                <w:color w:val="auto"/>
              </w:rPr>
            </w:pPr>
          </w:p>
        </w:tc>
        <w:tc>
          <w:tcPr>
            <w:tcW w:w="23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6,159</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13,065</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and officers’ insurance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3,128</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4,476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Rent and Maintenance</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820</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2,388</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34,709</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22,268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to $34.7 million for the year ended December 31, 2021, from $22.3 million for the year ended December 31, 2020. The increase in general and administrative expenses was primarily attributable to an increase of approximately $3.9 million due to the merger with Nanox AI, and the acquisitions of USARAD and the assets of MDWEB, an increase in the amount of approximately $1.9 million due to the increase in our head count in connection with the expansion of our management team and the overall organization infrastructure, an increase of approximately $1.9 million in legal fees primarily due to the SEC inquiry and class-actions, an increase of $2.6 million in our directors’ and officers’ liability insurance premium and an increase of approximately $0.5 due to transaction expenses in connection with the merger with Nanox AI, and the acquisitions of USARAD and the assets of MDWEB.</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obligation in connection of acquisitions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record a change in obligation in connection of acquisitions for the years ended December 31, 2021 or 2020.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record a goodwill impairment for the years ended December 31, 2021 or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expenses were $1.2 million for the year ended December 31, 2021, and none for the year ended December 31, 2020. The increase in other expenses was primarily attributable to the relocation of our fabrication facility from its temporary location to its permanent location in South Korea.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audited consolidated financial statements, included elsewhere in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our inception and prior to November 2021, we did not generate any revenue from product sales or otherwise and have incurred significant operating losses and negative cash flows from our operations. Beginning in the year ended December 31, 2021 and continuing in the year ended December 31, 2022, we generated revenue through the sale of teleradiology services and the sale of AI solutions following the completion of the merger with Nanox AI, and the acquisitions of USARAD in November 2021. We have not generated any revenue to date from sales of imaging services from the Nanox System. Historically, we have funded our operations primarily with proceeds from the sale of our and our predecessor company’s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(38,061)</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(21,609)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from (used in) investing activities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14,606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(116,320)</w:t>
            </w:r>
          </w:p>
        </w:tc>
        <w:tc>
          <w:tcPr>
            <w:tcW w:w="3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(13,937)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7,379</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240,991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on changes in exchange rates on cash balances in foreign currencies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(147,012)</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205,567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2022, 2021 and 2020, net cash used in operating activities was $43.4 million, $38.1 million and $21.6 million, respectively, resulting from our net loss of $113.2 million, $61.8 million and $43.8 million, respectively, adjusted for stock-based compensation changes of $18.6 million, $18.8 million and $24.8 million, respectively, amortization of intangible assets of $10.6 million, $1.8 million and none, respectively, goodwill impairment of $50.9 million, none and none, respectively, change in contingent earnout liability of $20.4 million, none and none, respectively, non-cash charges of ($1.3) million, $0.4 million and $0.1 million, respectively, and changes in components of working capital of $11.4 million, 2.7 million and ($2.7) million, respectively. In 2022, the increase in cash used in operating activities was primarily due to the development of our products and AI solutions. In 2021, the increase in cash used in operating activities was primarily due to activities related to our business expansion.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2022, 2021 and 2020, net cash provided by (used in) investment activities was $14.6 million, $(116.3) million and $(13.9) million, respectively. The increase in cash provided by investing activities during the year ended December 31, 2022, was primarily due to proceeds from the sale of marketable securities in the amount of $22.8 million which was offset in part by the purchase of property and equipment in the amount of $7.2 million and an investment of $1.0 million in an unconsolidated entity. The increase in cash used in investing activities during the year ended December 31, 2021, was primarily due to purchase of marketable securities, the acquisition of USARAD and the completion of our fabrication facility in Korea, as part of the preparation for the commencement of full manufacturing activity.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2021 and 2020, net cash provided by financing activities was $0.8 million, $7.4 million and $241.0 million, respectively, primarily due to proceeds from the issuance of ordinary shares and warrants, net of issuance costs, and from the issuance of ordinary shares upon exercise of options and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long-term contractual obligations mainly consist of our lease agreements for our offices and other facilities in Israel, Japan, Korea and the United States. For details regarding these lease agreements, see “Item 4. Information on the Company—D. Property, Plants and Equipment.”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we have lease agreements for the lease of vehicles for certain of our employees in Israel and Korea, which are effective through July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we had non-current operating leases liabilities of $0.4 million. For additional details regarding our operating lease agreements, see Note 7 to our audited consolidated financial statements, which are included elsewhere in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and improvement of the Nanox System and seek marketing approval for this product. In addition, we incur additional costs associated with operating as a public company. Our expenses will also increase if, and as, we:</w:t>
      </w:r>
    </w:p>
    <w:p>
      <w:pPr>
        <w:spacing w:after="0" w:line="176"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additional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manufacturing, sales, marketing, medical affairs and distribution infrastructure to commercialize the Nanox System for which we may obtain marketing approval and intend to commercialize on our own or jointly;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quality control and scientific personnel;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our manufacturing facility in South Korea for the purpose of manufacturing MEMs X-ray chips;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products and technologies.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cash on hand and cash equivalents will enable us to fund our operating expenses and capital expenditure requirements for at least the next twelve months from the date of issuance of the financial statements. We have based this estimate on assumptions that may prove to be wrong, and we could exhaust our available capital resources sooner than we expect.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manufacture, research, development and commercialization of products, we are unable to estimate the exact amount of our working capital requirements. Our future funding requirements will depend on, and could increase significantly as a result of, many factors, including:</w:t>
      </w:r>
    </w:p>
    <w:p>
      <w:pPr>
        <w:spacing w:after="0" w:line="176"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the Nanox System;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the Nanox.ARC (including the Nanox.CLOUD);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the Nanox System for which we receive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manufacturing, shipping, installation and deployment of the Nanox System and sufficient inventory to support commercial launch;</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the Nanox System, should the Nanox.ARC receive marketing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hiring new employees to support our continued growth;</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establish and maintain collaborations on favorable terms, if at all;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incurred with respect to and the outcome of the securities litigations and SEC investigation we are currently subject to and any similar or other claims, litigation and investigations we may be subject to in the future;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the Nanox System, if 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change in any of these or other variables with respect to the development of any of our products could significantly change the costs and timing associated with the development of that product. Further, our operating plans may change in the future, and we may need additional funds to meet operational needs and capital requirements associated with such operating plans.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public or private equity offerings, debt financings, collaborations, strategic partnerships or marketing, distribution or licensing arrangements with third parties. To the extent that we raise additional capital through the sale of equity or convertible debt securities, your ownership interest may be materially diluted, and the terms of such securities could include liquidation or other preferences that adversely affect your rights as an ordinary shareholder. Debt financing and preferred equity financing, if available, may involve agreements that include restrictive covenants that limit our ability to take specified actions, such as incurring additional debt, making capital expenditures or declaring dividends. In addition, debt financing would result in increased fixed payment obligations.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raise funds through collaborations, strategic partnerships or marketing, distribution or licensing arrangements with third parties, we may have to relinquish valuable rights to our technologies, future revenue streams, research programs or products or grant licenses on terms that may not be favorable to us.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raise additional funds when needed, we may be required to delay, reduce or eliminate our product development or future commercialization efforts, or grant rights to develop and market products that we would otherwise prefer to develop and market ourselves.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charged to the statement of operations as incurred and consist primarily of personnel, materials and supplies for research and development activities. See “Item 5. Operating and Financial Review and Prospects—A. Operating Results—Critical Accounting Policies and Significant Judgments and Estimates—Research and Development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April 17, 2023, we and our subsidiaries had 26 issued patents and 11 pending patent applications in the United States. We also had three issued patents and one pending patent application in Israel, one issued patent and nine pending patent applications in the European Patent Office, and one issued patent and three pending patent applications in Hong Kong. We also have one international patent application pending. Our issued patents generally expire between the years 2032 and 2041, and some are directed to various features and combinations of features of the Nanox.ARC and the others for AI and teleradiology. We also have five trademarks registered in the United States, one trademark pending in the United States and eight trademarks registered in Israel.</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intend to continue filing for patents on new technologies as they are developed and to actively pursue any infringement upon our patents. We believe that our know-how and trade secrets represent de facto barriers to potential competition.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development-stage company and cannot predict with any degree of accuracy the outcome of our research and development efforts. As such, we cannot predict with any degree of accuracy any significant trends, uncertainties or events that are reasonably likely to have a material effect on our net loss, liquidity or capital resources, or cause financial information to not be indicative of future operating results or financial condition. However, to the extent possible, certain trends, uncertainties, demands, commitments and events are described in this “Item 5. Operating and Financial Review and Prospects.”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provided a summary of our significant accounting policies, estimates and judgments in Note 2 to our consolidated financial statements. The following critical accounting estimates discussion pertain to accounting policies management believes are most critical to the portrayal of our historical financial condition and results of operations and that require significant, difficult, subjective or complex judgments.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regularly reviews its accounting estimates and assumptions to determine whether any should be disclosed as critical accounting estimates or whether sensitivities should be updated for those critical accounting estimates already disclosed. The preparation of financial statements in accordance with GAAP requires management to make certain estimates and assumptions based on our historical experience and on various other assumptions which we believe to be reasonable under the circumstances. Because of the uncertainty inherent in these matters, actual results could differ materially from the estimates we use in applying these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determine the fair value of our reporting units using a discounted cash flow model, which utilizes key assumptions such as projected revenues, cost of revenues and operating expenses. These assumptions were determined by management utilizing our internal operating plan, growth rates for revenues and operating expenses and margin assumptions. An additional key assumption under this approach is the discount rate, based on the weighted average cost of capital, which is adjusted for current risk-free rates of capital, current market interest rates, and the evaluation of a risk premium relevant to the business segment.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our assumptions relative to revenue growth rates, cost of revenues and operating expenses were to change, our fair value calculation may change, which could result in impairment. If our assumptions relative to the discount rate and the evaluation of risk premium growth rates were to change, our fair value calculation may change, which could result in impairment. Management uses the income approach to determine the fair value of the reporting units because it considers the anticipated future financial performance of the reporting units. Accordingly, changes in the assumptions described above could have a material impact on our consolidated results of operations.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goodwill is tested for impairment at least on an annual basis, on the last day of the fourth quarter of the fiscal year and whenever events or changes in circumstances indicate the carrying value of a reporting unit may not be recoverable. When necessary, we record charges for impairments of goodwill for the amount by which the carrying amount of the respective reporting unit exceeds its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assessments for the year ended December 31, 2022</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AI solutions reporting unit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second quarter of 2022, in light of triggering events arising from the increase of the discount rate and changes in our estimates as a result of business specific considerations, we performed a quantitative interim assessment for goodwill impairment for our AI solutions reporting unit. The amount of goodwill assigned to the AI solutions reporting unit on the interim testing date, which had not changed from the amount assigned to such unit on the acquisition date, was $51.2 million. When evaluating the fair value of the AI solutions reporting unit under the income approach, we used a discounted cash flow model which utilized Level 3 measures that represent unobservable inputs. Key assumptions used to determine the estimated fair value include:</w:t>
      </w:r>
    </w:p>
    <w:p>
      <w:pPr>
        <w:spacing w:after="0" w:line="3" w:lineRule="exact"/>
        <w:rPr>
          <w:sz w:val="20"/>
          <w:szCs w:val="20"/>
          <w:color w:val="auto"/>
        </w:rPr>
      </w:pPr>
    </w:p>
    <w:p>
      <w:pPr>
        <w:jc w:val="both"/>
        <w:ind w:firstLine="8"/>
        <w:spacing w:after="0" w:line="251" w:lineRule="auto"/>
        <w:tabs>
          <w:tab w:leader="none" w:pos="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cash flows forecasts for 5 years following the assessment date, including expected revenue growth, costs to sales and operating expenses; (b) an estimated terminal value using a terminal year long-term future growth rate of 3.0% determined based on the growth prospects of the reporting unit; and (c) a discount rate of 22.0% which reflects the weighted-average cost of capital adjusted for the relevant risk associated with the AI solutions reporting unit’s operations and the uncertainty inherent in our internally developed forecasts. Specifically, as part of our interim impairment test, in making the assumptions mentioned in clauses (a) and (b) above, we considered (1) the efforts and time required for the AI solutions reporting unit to achieve financial stability, (2) our estimate that it would take approximately one year for such unit to generate any material revenue and two years to achieve profitability; and (3) our estimate that it would take longer than we originally expected for such unit to generate material revenues, gross profit, and positive operating cash flows, especially from its population health applications. As a result of the impairment assessment, we concluded that the fair value of the AI solutions reporting unit decreased below its carrying value by 11.61%, and therefore we recorded a goodwill impairment charge of $14.3 million in the second quarter of 2022. As a result, the remaining amount of goodwill assigned to the AI solutions reporting unit at June 30, 2022 was $36.9 million.</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fourth quarter of 2022, we performed a qualitative and quantitative annual assessment for goodwill impairment. Based on our qualitative analysis, which considered the AI solutions reporting unit results, projections and additional business and industry specific considerations, we performed a further revision of the estimates of the fair value of the AI solutions reporting unit. As part of this analysis, we also considered the potential impacts of the sensitivity of estimates and assumptions. When evaluating the fair value of the AI solutions reporting unit under the income approach, we used the same discounted cash flow model discussed above; however, in clause (c) the resulting cash flow amounts were discounted using a discount rate of 22.50%. As a result of the impairment assessment, we concluded that the fair value of the AI solutions reporting unit decreased below its carrying value by 34.44%, and therefore we recorded an additional goodwill impairment charge of $36.6 million in the fourth quarter of 2022. As a result, the amount of goodwill assigned to the AI solutions reporting unit on December 31, 2022 was $0.4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8" w:name="page89"/>
    <w:bookmarkEnd w:id="8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 evaluating the fair value of the AI solutions reporting unit under the income approach, we used a discounted cash flow model which utilized Level 3 measures that represent unobservable inputs. Key assumptions used to determine the estimated fair value include: (a) internal cash flows forecasts for 5 years following the assessment date, including expected revenue growth, costs of sales and operating expenses; (b) an estimated terminal value using a terminal year long-term future growth rate determined based on the growth prospects of the reporting unit; and (c) assumed discount rate which reflects the weighted-average cost of capital adjusted for the relevant risk associated with the AI solutions reporting unit’s operations and the uncertainty inherent in our internally developed forecasts.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Specifically, as part of our interim impairment test, in making the assumptions mentioned in clauses (a) and (b) above, we considered (1) the efforts and time required for the AI solutions reporting unit to achieve financial stability, (2) our estimate that it would take approximately one year for such unit to generate any material revenue and three years to achieve profitability; and (3) our estimate that it would take longer than we originally expected for such unit to generate material revenues, gross profit, and positive operating cash flows, especially from its population health applications. For the assumption mentioned in clause (b) above, we assumed a terminal year long-term future growth rate of 3.0% as of June 30, 2022 and December 31,2022. For the assumption mentioned in clause (c) above, we assumed a discount rate of 22.0% as of June 30, 2022, and 22.5% as of December 31, 2022.</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Actual results may differ from those assumed in our valuation method. It is reasonably possible that our assumptions described above could change in future periods. If any of these were to vary materially from our plans, we may record impairment of goodwill allocated to this reporting unit in the future. A hypothetical decrease in the growth rate of 0.5% or an increase of 0.5% to the discount rate would have reduced the fair value of the AI solutions reporting unit by approximately $1.0 million and $2.9 million, respectively.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Radiology services reporting unit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fourth quarter of 2022, we performed a quantitative assessment for goodwill impairment for our teleradiology reporting unit and concluded that the fair value of the radiology services reporting unit exceeded its carrying amount by approximately 5.3%, with a carrying amount of goodwill assigned to this reporting unit in an amount of $7.1 million.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 evaluating the fair value of the radiology services reporting unit under the income approach, we used a discounted cash flow model which utilized Level 3 measures that represent unobservable inputs. Key assumptions used to determine the estimated fair value include: (a) internal cash flows forecasts for 5 years following the assessment date, including expected revenue growth, costs to sales and operating expenses; (b) an estimated terminal value using a terminal year long-term future growth rate of 3% determined based on the growth prospects of the reporting unit; and (c) a discount rate of 27.5% which reflects the weighted-average cost of capital adjusted for the relevant risk associated with the radiology services reporting unit’s operations and the uncertainty inherent in our internally developed forecasts.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Actual results may differ from those assumed in our valuation method. It is reasonably possible that our assumptions described above could change in future periods. If any of these were to vary materially from our plans, we may record impairment of goodwill allocated to this reporting unit in the future. A hypothetical decrease in the growth rate of 0.5% or an increase of 0.5% to the discount rate would have reduced the fair value of the radiology services reporting unit by approximately $0.3 million and $0.6 million, respectively.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the percentage by which the estimated fair value of our reporting units exceeded the carrying value was as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Goodwill</w:t>
            </w: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Goodwill</w:t>
            </w:r>
          </w:p>
        </w:tc>
      </w:tr>
      <w:tr>
        <w:trPr>
          <w:trHeight w:val="216"/>
        </w:trPr>
        <w:tc>
          <w:tcPr>
            <w:tcW w:w="39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from</w:t>
            </w:r>
          </w:p>
        </w:tc>
      </w:tr>
      <w:tr>
        <w:trPr>
          <w:trHeight w:val="216"/>
        </w:trPr>
        <w:tc>
          <w:tcPr>
            <w:tcW w:w="39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3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acquisition of</w:t>
            </w: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acquisition of</w:t>
            </w:r>
          </w:p>
        </w:tc>
      </w:tr>
      <w:tr>
        <w:trPr>
          <w:trHeight w:val="216"/>
        </w:trPr>
        <w:tc>
          <w:tcPr>
            <w:tcW w:w="39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Nanox AI</w:t>
            </w: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USARAD</w:t>
            </w:r>
          </w:p>
        </w:tc>
      </w:tr>
      <w:tr>
        <w:trPr>
          <w:trHeight w:val="245"/>
        </w:trPr>
        <w:tc>
          <w:tcPr>
            <w:tcW w:w="396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Unit #1</w:t>
            </w:r>
          </w:p>
        </w:tc>
        <w:tc>
          <w:tcPr>
            <w:tcW w:w="12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Unit #2</w:t>
            </w:r>
          </w:p>
        </w:tc>
      </w:tr>
      <w:tr>
        <w:trPr>
          <w:trHeight w:val="216"/>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 Assigned (</w:t>
            </w:r>
            <w:r>
              <w:rPr>
                <w:rFonts w:ascii="Times New Roman" w:cs="Times New Roman" w:eastAsia="Times New Roman" w:hAnsi="Times New Roman"/>
                <w:sz w:val="18"/>
                <w:szCs w:val="18"/>
                <w:b w:val="1"/>
                <w:bCs w:val="1"/>
                <w:i w:val="1"/>
                <w:iCs w:val="1"/>
                <w:color w:val="auto"/>
              </w:rPr>
              <w:t>in millions</w:t>
            </w:r>
            <w:r>
              <w:rPr>
                <w:rFonts w:ascii="Times New Roman" w:cs="Times New Roman" w:eastAsia="Times New Roman" w:hAnsi="Times New Roman"/>
                <w:sz w:val="18"/>
                <w:szCs w:val="18"/>
                <w:b w:val="1"/>
                <w:bCs w:val="1"/>
                <w:color w:val="auto"/>
              </w:rPr>
              <w:t>)</w:t>
            </w:r>
          </w:p>
        </w:tc>
        <w:tc>
          <w:tcPr>
            <w:tcW w:w="4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top w:val="single" w:sz="8" w:color="CCEEFF"/>
            </w:tcBorders>
            <w:shd w:val="clear" w:color="auto" w:fill="CCEEFF"/>
          </w:tcPr>
          <w:p>
            <w:pPr>
              <w:spacing w:after="0"/>
              <w:rPr>
                <w:sz w:val="18"/>
                <w:szCs w:val="18"/>
                <w:color w:val="auto"/>
              </w:rPr>
            </w:pPr>
          </w:p>
        </w:tc>
      </w:t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Value/Carrying Amount</w:t>
            </w:r>
          </w:p>
        </w:tc>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105.3%</w:t>
            </w:r>
          </w:p>
        </w:tc>
      </w:tr>
      <w:tr>
        <w:trPr>
          <w:trHeight w:val="633"/>
        </w:trPr>
        <w:tc>
          <w:tcPr>
            <w:tcW w:w="39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jc w:val="right"/>
              <w:ind w:right="279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assessment for the year ended December 31, 2021</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2021, we evaluated that there was no notable change in qualitative factors due to the short period of time that had lapsed from the acquisition date through December 31, 2021. Therefore, we did not determine that it was more likely that not that the fair value of each reporting unit was less than its carrying amount. As such, we concluded that no further impairment testing was required for either reporting unit as of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long-lived assets, such as property, plant and equipment and identifiable intangible assets, are reviewed for potential impairment whenever events or changes in circumstances indicate that the carrying amount of an asset may not be recoverable. Impairment indicators which could trigger an impairment may include, among others, any significant changes in the manner of our use of the assets or the strategy of our overall business, certain reorganization initiatives, significant negative industry or economic trends or when we conclude that it is more likely than not that an asset will be disposed of or sold.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recoverability of assets to be held and used is measured by a comparison of the carrying amount of an asset with the future undiscounted cash flows expected to be generated by such assets. If such assets are considered to be impaired, the impairment to be recognized is measured by the amount by which the carrying amount of the assets exceeds the fair value of the assets. Our identifiable intangible assets were recognized as part of the business combinations we executed in 2021. Our identifiable intangible assets are comprised of developed technology, image big data, market platform, radiologists’ relationships, trade names and customer relationships.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measurement includes significant estimates and assumptions inherent in the estimate of the fair value of identifiable intangible assets such as assumptions associated with forecasting profitability, including operational margins and capital expenditures.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Newly acquired and recently impaired long-lived assets are more vulnerable to impairment as the assets are recorded at fair value and are then subsequently measured at the lower of fair value or carrying value annually or when triggering events are present. As such, immediately after acquisition or impairment, even small declines in the outlook for these assets can negatively impact our ability to recover the carrying value and can result in an impairment charge. Accordingly, changes in the assumptions described above could have a material impact on our consolidated results of operations.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we recorded an impairment charge in the amount of $50.9 million related to our definite-life intangible assets. During the year ended December 31, 2021, we did not record any impairment charges related to our definite-life intangible assets.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impairment charge in the amount of $0.2 million was recorded for each of the years ended December 31, 2022 and 2021 in relation to our property, plant and equipment. During the year ended December 31, 2020, we did not record any impairment charges related to our property, plant and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Other Contingencies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involved in claims and other legal proceedings that arise from time to time in the ordinary course of business. We record accruals for these types of contingencies to the extent that we conclude their occurrence is probable and that the related liabilities are estimable. When accruing these costs, we recognize an accrual in the amount within a range of loss that is the best estimate within the range. When no amount within the range is a better estimate than any other amount, we accrue the minimum amount within the range. We record anticipated recoveries under existing insurance contracts that are virtually certain of occurring at the gross amount that is expected to be collected. Management applies the guidance in ASC 450-20-25 when assessing losses resulting from contingencies. If the assessment of a contingency indicates that it is probable that a material loss would be incurred and the amount of the liability can be estimated, then the Company records an accrued expense in the Company’s consolidated financial statements based on its best estimate. Loss contingencies considered by management to be remote are generally not disclosed unless material.</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review the adequacy of the accruals on a periodic basis and may determine to alter our reserves at any time in the future if we believe it would be appropriate to do so. As such accruals are based on management’s judgment as to the probability of losses and, where applicable, actuarially determined estimates, accruals may materially differ from actual verdicts, settlements or other agreements made with regards to such contingencies. Litigation outcomes and contingencies are unpredictable and excessive verdicts can occur. Accordingly, management’s assessments involve complex judgments concerning future events and often rely heavily on estimates and assumptions.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2022, we had accrued $8 million for future settlement expenses in connection with the two pending class action lawsuits against the Company. On April 28, 2023, the Company signed a term sheet with Lead Plaintiffs in both the McLaughlin action and the consolidated White action to settle all claims in both actions in consideration for $8 million. The settlement is subject to finalization of a formal settlement agreement and court approval of the settlement. We had not accrued any losses other than legal fees in connection with the SEC investigation and given the status of the SEC investigation as of such date, we could not reasonably estimate the possible loss or a range of possible loss from the SEC investigation due to the unpredictable nature of future events. We did not accrue any liability in connection with the dismissed complaint brought against the Company, its recently formed Delaware subsidiary and Nanox Gibraltar PLC.</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2021, we had not accrued any losses other than legal fees in connection with our legal proceedings, including two securities class action lawsuits and the SEC investigation. At that time, given the status of the two securities class action cases and the SEC investigation as of such date, we could not reasonably estimate the possible loss or a range of possible loss from such cases or the SEC investigation due to the lack of specific damages claimed and the unpredictable nature of future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Valuation allowances are provided unless it is more likely than not that the deferred tax asset will be realized. In the determination of the appropriate valuation allowances, we consider future reversals of existing taxable temporary differences and the most recent projections of future business results that may enhance the likelihood of realization of a deferred tax asset. Assessments for the realization of deferred tax assets made at a given balance sheet date are subject to change in the future, particularly if earnings of a subsidiary are significantly higher or lower than expected, or if we take operational or tax positions that could impact the future taxable earnings of a subsidiary. Accordingly, changes in the assumptions described above could have a material impact on our consolidated results of operations.</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and directors, including their ages, as of May 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742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2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Borders>
              <w:top w:val="single" w:sz="8" w:color="auto"/>
            </w:tcBorders>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Meltzer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 Director</w:t>
            </w: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 Daniel</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Dara</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Manager Source &amp; Services Division</w:t>
            </w: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Ofir Koren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Manager Nanox.ARC Division</w:t>
            </w: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Pini Ben Elazar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Manager Nanox AI</w:t>
            </w: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Tamar Aharon Cohen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Marketing Officer</w:t>
            </w: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Guy Yoskovitz</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Clinical Officer</w:t>
            </w: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Gali Yahav Attias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of Staff and Vice President Corporate Resources</w:t>
            </w: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Marina Gofman Feler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Orit Wimpfheimer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Medical Officer and Vice President Product Nanox AI</w:t>
            </w:r>
          </w:p>
        </w:tc>
      </w:tr>
      <w:tr>
        <w:trPr>
          <w:trHeight w:val="216"/>
        </w:trPr>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Ran Poliakine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Founder, Chairman of the Board</w:t>
            </w: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Noga Kainan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 Suesskind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Erez Alroy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 Young Shin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Erez Meltzer </w:t>
      </w:r>
      <w:r>
        <w:rPr>
          <w:rFonts w:ascii="Times New Roman" w:cs="Times New Roman" w:eastAsia="Times New Roman" w:hAnsi="Times New Roman"/>
          <w:sz w:val="18"/>
          <w:szCs w:val="18"/>
          <w:color w:val="auto"/>
        </w:rPr>
        <w:t>has served as a member of our board of directors since December 2019 and in January 2022, assumed the role of our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Mr. Meltzer served as the Executive Chairman of the board of directors of Hadassah Medical and University Center from 2014 to 2020. Since 2008, Mr. Meltzer has served as a teaching professor at the Tel Aviv Faculty of Medicine in the area of crisis management. Mr. Meltzer served as Executive Vice Chairman and Chief Executive Officer of Gadot Chemicals &amp; Shipping Group from 2009 to 2014. Prior to that, Mr. Meltzer served as Chief Executive Officer of Africa-Israel Ltd. from 2006 to 2007 and President and Chief Executive Officer of Netafim Ltd. from 2001 to 2006. Mr. Meltzer also served as Chief Executive Officer of Creo Scitex from 1996 to 2001. Mr. Meltzer serves as a director of Turpaz Industries Ltd. (TASE), Eltek Ltd. (NASDAQ) and Hadasit Bio Holdings Ltd. (TASE) as well as of a number of private companies.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Ran Daniel </w:t>
      </w:r>
      <w:r>
        <w:rPr>
          <w:rFonts w:ascii="Times New Roman" w:cs="Times New Roman" w:eastAsia="Times New Roman" w:hAnsi="Times New Roman"/>
          <w:sz w:val="18"/>
          <w:szCs w:val="18"/>
          <w:color w:val="auto"/>
        </w:rPr>
        <w:t>has served as our Chief Financial Officer since August 2021. Mr. Daniel has extensive experience working as a 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both rapidly growing companies and publicly traded companies. Mr. Daniel served as the chief financial officer of the IDH Group from 2012 until 2014, the chief financial officer of Elie Tahari family office from 2014 to 2016, the chief financial officer of Blue Sphere Corporation from 2016 to 2018 and Chief Financial Officer at Cuentas from 2018 to the present. Mr. Daniel is licensed as a Certified Public Accountant in the United States and Israel, Chartered Financial Analyst (CFA) and is admitted to practice law in the State of New York. Mr. Daniel holds a Bachelor of Economics, a Bachelor of Accounting and an MBA in Finance from the Hebrew University of Jerusalem, as well as a Graduate Degree in Law from Bar Ilan University.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1" w:name="page92"/>
    <w:bookmarkEnd w:id="91"/>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James Dara </w:t>
      </w:r>
      <w:r>
        <w:rPr>
          <w:rFonts w:ascii="Times New Roman" w:cs="Times New Roman" w:eastAsia="Times New Roman" w:hAnsi="Times New Roman"/>
          <w:sz w:val="18"/>
          <w:szCs w:val="18"/>
          <w:color w:val="auto"/>
        </w:rPr>
        <w:t>has served as our General Manager Source &amp; Services Division since January 2022, after having served as our Chief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beginning in January 2021. Prior to joining us, Mr. Dara served as President of myCharge from 2012 to 2020. Prior to myCharge, Mr. Dara served as Vice President of Business Development for Powermat Technologies Ltd. from 2009 to 2014 and as Interim CEO and Vice President of Business Development of Wellsense Technologies Ltd. from 2009 to 2015. From 2003 to 2009, Mr. Dara served as Chief Sales Officer, Senior Vice President and General Manager of North America for Braintech Inc. In addition, from 1998 to 2002, Mr. Dara served as a Sales Manager and Sales Engineer for ITW Shakeproof Group. Mr. Dara received his Bachelor of Science degree in Mechanical Engineering from Michigan State University, and his Master’s degree in Finance from Walsh University.</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Ofir Koren </w:t>
      </w:r>
      <w:r>
        <w:rPr>
          <w:rFonts w:ascii="Times New Roman" w:cs="Times New Roman" w:eastAsia="Times New Roman" w:hAnsi="Times New Roman"/>
          <w:sz w:val="18"/>
          <w:szCs w:val="18"/>
          <w:color w:val="auto"/>
        </w:rPr>
        <w:t>has served as our General Manager Nanox.ARC Division since January 2022, after having served as our Chief Technology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beginning in January 2021. Prior to joining us, Mr. Koren served as General Manager Israel and Vice President of Research &amp; Development and Regulatory at ReWalk Robotics from 2013 to 2021. From 2012 to 2013, Mr. Koren served as Research &amp; Development Manager for ReWalk Robotics. Prior to ReWalk Robotics, Mr. Koren served as General Manager at RuggedCOM from 2009 to 2012. From 2007 to 2009, Mr. Koren served as Vice President of Research &amp; Development at Alvarion. Mr. Koren served as Research &amp; Development Director at Alvarion from 2004 to 2007. Mr. Koren received his Bachelor of Science degree in Electrical Engineering from Tel Aviv University, and he holds an M.B.A. degree from Heriot-Watt University.</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Tamar Aharon Cohen </w:t>
      </w:r>
      <w:r>
        <w:rPr>
          <w:rFonts w:ascii="Times New Roman" w:cs="Times New Roman" w:eastAsia="Times New Roman" w:hAnsi="Times New Roman"/>
          <w:sz w:val="18"/>
          <w:szCs w:val="18"/>
          <w:color w:val="auto"/>
        </w:rPr>
        <w:t>has served as our Executive Vice President and Chief Marketing Officer since June 2022, after having served as our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Officer from January 2021. Prior to joining us, Ms. Aharon Cohen served as the Chief Executive Officer of Tempo Beverages Cyprus Ltd. from 2017 to 2021. Ms. Aharon Cohen served as a Marketing Manager and a Division Manager at Tempo Beverages Ltd. from 2010 to 2017. From 2006 to 2010, Ms. Aharon Cohen served as a Marketing Manager for L’Oréal Israel. Ms. Aharon Cohen holds a LLB degree, a B.A. degree in Management and an executive M.B.A. degree, all from Tel Aviv University.</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Guy Yoskovitz </w:t>
      </w:r>
      <w:r>
        <w:rPr>
          <w:rFonts w:ascii="Times New Roman" w:cs="Times New Roman" w:eastAsia="Times New Roman" w:hAnsi="Times New Roman"/>
          <w:sz w:val="18"/>
          <w:szCs w:val="18"/>
          <w:color w:val="auto"/>
        </w:rPr>
        <w:t>has served as our Chief Clinical Officer since January 2022. Prior to that, Dr. Yoskovitz served as our VP Clinical Innovation,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to the Chief Product Officer, beginning in November 2019. Prior to joining the company and from 2014, Dr. Yoskovitz served as Head of International Ventures &amp; Deputy Director of Research, Innovation and International Affairs Authority, and as a lecturer, at Holon Institute of Technology, Israel. Dr. Yoskovitz holds a PhD in Human Genetics from the Faculty of Biology, University of Barcelona; an MSc degree in Medical Sciences from the School of Graduate Studies, The Faculty of Medicine, Tel Aviv University, Israel; and a BSc degree in Computational Biology from Bar Ilan University, Israel.</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Pini Ben Elazar </w:t>
      </w:r>
      <w:r>
        <w:rPr>
          <w:rFonts w:ascii="Times New Roman" w:cs="Times New Roman" w:eastAsia="Times New Roman" w:hAnsi="Times New Roman"/>
          <w:sz w:val="17"/>
          <w:szCs w:val="17"/>
          <w:color w:val="auto"/>
        </w:rPr>
        <w:t>has served as General Manager Nanox AI since March 2022. Mr. Ben Elazar brings 25 years of strategic and commercial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expertise in the healthcare industry. Mr. Ben Elazar previously served on the board of Zebra Medical. From 2003 to March 2022, Mr. Ben Elazar has served as Chief Executive Officer of Mor Research Applications, a technology transfer organization of Clalit Health Services, the largest health maintenance organization in Israel and the second-largest HMO in the world. Mr. Ben Elazar holds an MBA degree from Johnson &amp; Wales University, Providence, RI.</w:t>
      </w:r>
    </w:p>
    <w:p>
      <w:pPr>
        <w:spacing w:after="0" w:line="16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Gali Yahav Attias </w:t>
      </w:r>
      <w:r>
        <w:rPr>
          <w:rFonts w:ascii="Times New Roman" w:cs="Times New Roman" w:eastAsia="Times New Roman" w:hAnsi="Times New Roman"/>
          <w:sz w:val="18"/>
          <w:szCs w:val="18"/>
          <w:color w:val="auto"/>
        </w:rPr>
        <w:t>has served as our Chief of Staff since December 2021 and commencing May 2022, as Vice President Corporate Resources. 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Yahav Attias first joined our company as project manager in August 2021. From 2007 to 2021, Ms. Yahav Attias served as the Executive Administrator as well as Secretary of the Board and the external audit committee and compliance officer of the Hadassah Medical and University Center. From 2014 to 2017, Ms. Yahav Attias also served as the executive liaison of the government recovery agreement implementation in Hadassah Medical Center. Ms. Yahav Attias holds a B.A. degree in Social Sciences and Humanities from the Open University of Ra’anana, Israel.</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Marina Gofman Feler </w:t>
      </w:r>
      <w:r>
        <w:rPr>
          <w:rFonts w:ascii="Times New Roman" w:cs="Times New Roman" w:eastAsia="Times New Roman" w:hAnsi="Times New Roman"/>
          <w:sz w:val="18"/>
          <w:szCs w:val="18"/>
          <w:color w:val="auto"/>
        </w:rPr>
        <w:t>has served as our Chief Legal Officer since November 2022. Prior to that, Ms. Gofman Feler served as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of CollPlant Biotechnologies Ltd. (NASDAQ), a publicly traded biotech company, from 2021 to 2022. Prior to that, Ms. Gofman Feler served as the Legal Counsel of CollPlant Biotechnologies Ltd. from 2018 to 2021. Prior to that, Ms. Gofman Feler served as an associate at Yaron-Eldar, Paller, Schwartz &amp; Co., law offices, from 2015 to 2018. Ms. Gofman Feler holds a L.LB degree in Law and a B.A degree in Economics from Tel Aviv University.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Dr. Orit Wimpfheimer </w:t>
      </w:r>
      <w:r>
        <w:rPr>
          <w:rFonts w:ascii="Times New Roman" w:cs="Times New Roman" w:eastAsia="Times New Roman" w:hAnsi="Times New Roman"/>
          <w:sz w:val="18"/>
          <w:szCs w:val="18"/>
          <w:color w:val="auto"/>
        </w:rPr>
        <w:t>has served as our Chief Medical Officer and Vice President Product Nanox AI since January 2022. Dr. Wimpfheimer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held the position of Chief Medical Officer and Head of Product Strategy at Zebra Medical Vision, until its acquisition by the Company. Dr. Wimpfheimer is the co-founder of Remote Radiology International, with over 20 years of experience in the radiology field. Dr Wimpfheimer received her MD degree from Albert Einstein College of Medicine and completed her diagnostic radiology residency at New York Presbyterian Hospital in New York.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Ran Poliakine</w:t>
      </w:r>
      <w:r>
        <w:rPr>
          <w:rFonts w:ascii="Times New Roman" w:cs="Times New Roman" w:eastAsia="Times New Roman" w:hAnsi="Times New Roman"/>
          <w:sz w:val="18"/>
          <w:szCs w:val="18"/>
          <w:color w:val="auto"/>
        </w:rPr>
        <w:t>, our founder, has served as a member of our board of directors since our inception and has served as the Chairman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since the closing of our initial public offering. Mr. Poliakine served as our Chief Executive Officer from September 2019 until January 2022, and served as Chief Executive Officer of Nanox Gibraltar from August 2018 until November 2019. Prior to that, Mr. Poliakine served as Chief Strategy Officer of Nanox Gibraltar from June 2015 to August 2018. Mr. Poliakine is a serial entrepreneur and has founded numerous companies over the past two decades, including SixAI Ltd. (“SixAI”) and its two controlled subsidiaries 634 Ai Ltd. (“634 Ai”) and Musashi Ai Ltd., Powermat Technologies Ltd., Wellsense, Inc., and Illumigyn Ltd. (“Illumigyn”). Mr. Poliakine is the chief executive officer and a member of the board of directors of SixAI, the chairman of the board of directors and a senior advisor to Illumigyn, and a member of the board of directors of Powermat Technologies Ltd.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Noga Kainan </w:t>
      </w:r>
      <w:r>
        <w:rPr>
          <w:rFonts w:ascii="Times New Roman" w:cs="Times New Roman" w:eastAsia="Times New Roman" w:hAnsi="Times New Roman"/>
          <w:sz w:val="18"/>
          <w:szCs w:val="18"/>
          <w:color w:val="auto"/>
        </w:rPr>
        <w:t>has served as a member of our board of directors since February 2021. Ms. Kainan established in 2008 the forum for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chairpersons and CEOs of the leading companies in the Israeli economy. Ms. Kainan also serves as chairperson of the CFO Forum, which brings together the CFOs of the leading companies in the economy, since she established it in 1997. Ms. Kainan’s public activities include membership in committees in the Israeli Prime Minister’s Office, member in the Board of Trustees of Bar Ilan University, the College of Management in Israel, and the council of an NGO for IDF soldiers’ welfare. Ms. Kainan heads an association that she founded to promote the integration of autistic students in academia. Ms. Kainan serves as a director of Illumigyn and previously served as a director of the following companies traded on the Tel Aviv Stock Exchange: Bizportal Ltd., Poalim I.B.I – Managing &amp; Underwriting Ltd. and Analyst Provident Funds Ltd. Ms. Kainan also served as director at Oil Refineries Ltd. before the company was listed on the Tel Aviv Stock Exchange. Ms. Kainan served as a representative at the International Association of Financial Executives Institutes (IAFEI). Ms. Kainan, co-authored “Israel–- Success Story,” translated to English under the name: “Israel–- Island of Success.” Ms. Kainan has a bachelor’s degree in art and literature from Haifa University and an M.B.A. degree from Tel Aviv University.</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Dan Suesskind </w:t>
      </w:r>
      <w:r>
        <w:rPr>
          <w:rFonts w:ascii="Times New Roman" w:cs="Times New Roman" w:eastAsia="Times New Roman" w:hAnsi="Times New Roman"/>
          <w:sz w:val="18"/>
          <w:szCs w:val="18"/>
          <w:color w:val="auto"/>
        </w:rPr>
        <w:t>has served as a member of our board of directors since February 2021. Mr. Suesskind served as the Chief Financial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Teva Pharmaceutical Industries Ltd. (“Teva”) from 1977 to 2008 and as a director of Teva for several periods of time until 2018. Mr. Suesskind is currently a director of Nextar Chempharma Solutions Ltd., Sanotize Research and Development Corp., Imed Infinity Medical Limited partnership (TASE) and The Jerusalem Foundation. Mr. Suesskind previously served as a director of the following companies: Israel Corporation Ltd., Redhill Biopharma Ltd., Syneron Medical Ltd., Migdal Ltd., Ness Technologies Inc., the First International Bank of Israel, First International Selective Investment – Portfolio Management Company Ltd., LanOptics Ltd., ESC Medical Systems and the Hadassah Medical Center in Jerusalem. Mr. Suesskind’s public activities include membership in the Investment Committee of the Israeli Academy of Sciences and Humanities, Ben Gurion University and the Jerusalem Foundation. Mr. Suesskind is a member of the Board of Trustees of the Hebrew University of Jerusalem and of the Board of Trustees of the Ben Gurion University. Mr. Suesskind has a bachelor’s degree in economics and political science from the Hebrew University of Jerusalem and an M.B.A. degree from the University of Massachusetts.</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So Young Shin </w:t>
      </w:r>
      <w:r>
        <w:rPr>
          <w:rFonts w:ascii="Times New Roman" w:cs="Times New Roman" w:eastAsia="Times New Roman" w:hAnsi="Times New Roman"/>
          <w:sz w:val="18"/>
          <w:szCs w:val="18"/>
          <w:color w:val="auto"/>
        </w:rPr>
        <w:t>has served as a member of our board of directors since May 2022. Ms. Shin has served as Chief Executive Officer of SK Square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Americas, Inc., a U.S. investment entity of the SK Telecom group, based in New York, since November 2021 and prior to that, served as Chief Executive Officer of SK Telecom TMT Investment Corp. from January 2020, a U.S. investment entity of the SK Telecom group, based in New York. Prior to that, Ms. Shin served in the SK Telecom group as Managing Director, Head of SK Telecom EU office (May 2017-January 2020) and Team Leader, Smart Learning TF (January 2010- May 2017). Ms. Shin has a BA degree in Computer Science from Ewha Womans University, an MA degree in Economics from Seoul National University and an MBA degree from Oxford Saïd Business School, Oxford University.</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Erez Alroy </w:t>
      </w:r>
      <w:r>
        <w:rPr>
          <w:rFonts w:ascii="Times New Roman" w:cs="Times New Roman" w:eastAsia="Times New Roman" w:hAnsi="Times New Roman"/>
          <w:sz w:val="18"/>
          <w:szCs w:val="18"/>
          <w:color w:val="auto"/>
        </w:rPr>
        <w:t>has served as a member of our board of directors since June 2022. Mr. Alroy was part of the founders of SHL Telemedicine (SIX: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SHLTN) and for more than 20 years served in various positions in the SHL Telemedicine group, including 15 years as its Chief Executive Officer. From 2014 and until 2020, Mr. Alroy was a major shareholder and the chairman of Migvan Engineering and Technology. Currently Mr. Alroy is a private investor and consultant and holds several board positions, including SHL Telemedicine Ltd. and Merhavia Holdings and Investments Ltd. (TASE), an investment firm that invests mainly in life science and healthcare companies. Mr. Alroy holds an MBA degree from the Hebrew University of Jerusalem.</w:t>
      </w:r>
      <w:r>
        <w:rPr>
          <w:rFonts w:ascii="Times New Roman" w:cs="Times New Roman" w:eastAsia="Times New Roman" w:hAnsi="Times New Roman"/>
          <w:sz w:val="29"/>
          <w:szCs w:val="29"/>
          <w:color w:val="auto"/>
          <w:vertAlign w:val="superscript"/>
        </w:rPr>
        <w:t>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Executive Officers and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aggregate compensation, including share-based compensation, paid or expensed by us to our executive officers and directors for the year ended December 31, 2022 was approximately $9.7 million. This amount does not include approximately $0.5 million set aside or accrued to provide pension, severance, retirement or similar benefits or expenses, and does not include business travel, relocation, professional and business association dues, meals and expenses reimbursed to officers, and other benefits commonly reimbursed or paid by companies in Israel, on the same basis for all full-time employees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table below sets forth the salary expenses and social benefit costs of our five most highly compensated office holders (as defined in the Companies Law) during or with respect to the year ended December 31, 2022. We refer to the five individuals for whom disclosure is provided herein as our “Covered Executives.” For purposes of the table and the summary below, “compensation” includes base salary, bonuses, equity-based compensation, retirement or termination payments, and any benefits or perquisites such as car, phone and social benefits, as well as any undertaking to provide such compensation in the future.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8"/>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Information Regarding the Covered Executive</w:t>
            </w:r>
            <w:r>
              <w:rPr>
                <w:rFonts w:ascii="Times New Roman" w:cs="Times New Roman" w:eastAsia="Times New Roman" w:hAnsi="Times New Roman"/>
                <w:sz w:val="29"/>
                <w:szCs w:val="29"/>
                <w:b w:val="1"/>
                <w:bCs w:val="1"/>
                <w:color w:val="auto"/>
                <w:vertAlign w:val="superscript"/>
              </w:rPr>
              <w:t>(1)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r>
              <w:rPr>
                <w:rFonts w:ascii="Times New Roman" w:cs="Times New Roman" w:eastAsia="Times New Roman" w:hAnsi="Times New Roman"/>
                <w:sz w:val="29"/>
                <w:szCs w:val="29"/>
                <w:b w:val="1"/>
                <w:bCs w:val="1"/>
                <w:color w:val="auto"/>
                <w:vertAlign w:val="superscript"/>
              </w:rPr>
              <w:t>(2)</w:t>
            </w:r>
          </w:p>
        </w:tc>
        <w:tc>
          <w:tcPr>
            <w:tcW w:w="180" w:type="dxa"/>
            <w:vAlign w:val="bottom"/>
          </w:tcPr>
          <w:p>
            <w:pPr>
              <w:spacing w:after="0"/>
              <w:rPr>
                <w:sz w:val="17"/>
                <w:szCs w:val="17"/>
                <w:color w:val="auto"/>
              </w:rPr>
            </w:pPr>
          </w:p>
        </w:tc>
        <w:tc>
          <w:tcPr>
            <w:tcW w:w="1100" w:type="dxa"/>
            <w:vAlign w:val="bottom"/>
            <w:gridSpan w:val="2"/>
          </w:tcPr>
          <w:p>
            <w:pPr>
              <w:jc w:val="right"/>
              <w:ind w:right="580"/>
              <w:spacing w:after="0" w:line="202" w:lineRule="exact"/>
              <w:rPr>
                <w:sz w:val="20"/>
                <w:szCs w:val="20"/>
                <w:color w:val="auto"/>
              </w:rPr>
            </w:pPr>
            <w:r>
              <w:rPr>
                <w:rFonts w:ascii="Times New Roman" w:cs="Times New Roman" w:eastAsia="Times New Roman" w:hAnsi="Times New Roman"/>
                <w:sz w:val="18"/>
                <w:szCs w:val="18"/>
                <w:b w:val="1"/>
                <w:bCs w:val="1"/>
                <w:color w:val="auto"/>
              </w:rPr>
              <w:t>Base</w:t>
            </w:r>
          </w:p>
        </w:tc>
        <w:tc>
          <w:tcPr>
            <w:tcW w:w="122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b w:val="1"/>
                <w:bCs w:val="1"/>
                <w:color w:val="auto"/>
              </w:rPr>
              <w:t>Benefits and</w:t>
            </w:r>
          </w:p>
        </w:tc>
        <w:tc>
          <w:tcPr>
            <w:tcW w:w="100" w:type="dxa"/>
            <w:vAlign w:val="bottom"/>
          </w:tcPr>
          <w:p>
            <w:pPr>
              <w:spacing w:after="0"/>
              <w:rPr>
                <w:sz w:val="17"/>
                <w:szCs w:val="17"/>
                <w:color w:val="auto"/>
              </w:rPr>
            </w:pPr>
          </w:p>
        </w:tc>
        <w:tc>
          <w:tcPr>
            <w:tcW w:w="1440" w:type="dxa"/>
            <w:vAlign w:val="bottom"/>
            <w:gridSpan w:val="2"/>
          </w:tcPr>
          <w:p>
            <w:pPr>
              <w:jc w:val="right"/>
              <w:ind w:right="460"/>
              <w:spacing w:after="0" w:line="202" w:lineRule="exact"/>
              <w:rPr>
                <w:sz w:val="20"/>
                <w:szCs w:val="20"/>
                <w:color w:val="auto"/>
              </w:rPr>
            </w:pPr>
            <w:r>
              <w:rPr>
                <w:rFonts w:ascii="Times New Roman" w:cs="Times New Roman" w:eastAsia="Times New Roman" w:hAnsi="Times New Roman"/>
                <w:sz w:val="18"/>
                <w:szCs w:val="18"/>
                <w:b w:val="1"/>
                <w:bCs w:val="1"/>
                <w:color w:val="auto"/>
              </w:rPr>
              <w:t>Variable</w:t>
            </w:r>
          </w:p>
        </w:tc>
        <w:tc>
          <w:tcPr>
            <w:tcW w:w="100" w:type="dxa"/>
            <w:vAlign w:val="bottom"/>
          </w:tcPr>
          <w:p>
            <w:pPr>
              <w:spacing w:after="0"/>
              <w:rPr>
                <w:sz w:val="17"/>
                <w:szCs w:val="17"/>
                <w:color w:val="auto"/>
              </w:rPr>
            </w:pPr>
          </w:p>
        </w:tc>
        <w:tc>
          <w:tcPr>
            <w:tcW w:w="1540" w:type="dxa"/>
            <w:vAlign w:val="bottom"/>
            <w:gridSpan w:val="2"/>
          </w:tcPr>
          <w:p>
            <w:pPr>
              <w:jc w:val="right"/>
              <w:ind w:right="360"/>
              <w:spacing w:after="0" w:line="202" w:lineRule="exact"/>
              <w:rPr>
                <w:sz w:val="20"/>
                <w:szCs w:val="20"/>
                <w:color w:val="auto"/>
              </w:rPr>
            </w:pPr>
            <w:r>
              <w:rPr>
                <w:rFonts w:ascii="Times New Roman" w:cs="Times New Roman" w:eastAsia="Times New Roman" w:hAnsi="Times New Roman"/>
                <w:sz w:val="18"/>
                <w:szCs w:val="18"/>
                <w:b w:val="1"/>
                <w:bCs w:val="1"/>
                <w:color w:val="auto"/>
              </w:rPr>
              <w:t>Equity-Based</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43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20" w:type="dxa"/>
            <w:vAlign w:val="bottom"/>
            <w:gridSpan w:val="2"/>
          </w:tcPr>
          <w:p>
            <w:pPr>
              <w:jc w:val="right"/>
              <w:ind w:right="140"/>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Perquisites </w:t>
            </w:r>
            <w:r>
              <w:rPr>
                <w:rFonts w:ascii="Times New Roman" w:cs="Times New Roman" w:eastAsia="Times New Roman" w:hAnsi="Times New Roman"/>
                <w:sz w:val="29"/>
                <w:szCs w:val="29"/>
                <w:b w:val="1"/>
                <w:bCs w:val="1"/>
                <w:color w:val="auto"/>
                <w:w w:val="94"/>
                <w:vertAlign w:val="superscript"/>
              </w:rPr>
              <w:t>(3)</w:t>
            </w:r>
          </w:p>
        </w:tc>
        <w:tc>
          <w:tcPr>
            <w:tcW w:w="1540" w:type="dxa"/>
            <w:vAlign w:val="bottom"/>
            <w:gridSpan w:val="3"/>
          </w:tcPr>
          <w:p>
            <w:pPr>
              <w:jc w:val="right"/>
              <w:ind w:right="10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Compensation </w:t>
            </w:r>
            <w:r>
              <w:rPr>
                <w:rFonts w:ascii="Times New Roman" w:cs="Times New Roman" w:eastAsia="Times New Roman" w:hAnsi="Times New Roman"/>
                <w:sz w:val="29"/>
                <w:szCs w:val="29"/>
                <w:b w:val="1"/>
                <w:bCs w:val="1"/>
                <w:color w:val="auto"/>
                <w:vertAlign w:val="superscript"/>
              </w:rPr>
              <w:t>(4)</w:t>
            </w:r>
          </w:p>
        </w:tc>
        <w:tc>
          <w:tcPr>
            <w:tcW w:w="1640" w:type="dxa"/>
            <w:vAlign w:val="bottom"/>
            <w:gridSpan w:val="3"/>
          </w:tcPr>
          <w:p>
            <w:pPr>
              <w:jc w:val="right"/>
              <w:ind w:right="22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Compensation </w:t>
            </w:r>
            <w:r>
              <w:rPr>
                <w:rFonts w:ascii="Times New Roman" w:cs="Times New Roman" w:eastAsia="Times New Roman" w:hAnsi="Times New Roman"/>
                <w:sz w:val="29"/>
                <w:szCs w:val="29"/>
                <w:b w:val="1"/>
                <w:bCs w:val="1"/>
                <w:color w:val="auto"/>
                <w:vertAlign w:val="superscript"/>
              </w:rPr>
              <w:t>(5)</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1"/>
        </w:trPr>
        <w:tc>
          <w:tcPr>
            <w:tcW w:w="424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Ran Poliakine, Chairman of the Board and Former Chief</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36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Executive Officer</w:t>
            </w:r>
            <w:r>
              <w:rPr>
                <w:rFonts w:ascii="Times New Roman" w:cs="Times New Roman" w:eastAsia="Times New Roman" w:hAnsi="Times New Roman"/>
                <w:sz w:val="29"/>
                <w:szCs w:val="29"/>
                <w:color w:val="auto"/>
                <w:vertAlign w:val="superscript"/>
              </w:rPr>
              <w:t>(6)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587,361</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209,154</w:t>
            </w:r>
          </w:p>
        </w:tc>
        <w:tc>
          <w:tcPr>
            <w:tcW w:w="1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3,179,688</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3,976,203</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Erez Meltzer, Chief Executive Officer</w:t>
            </w: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903,577</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258,040</w:t>
            </w:r>
          </w:p>
        </w:tc>
        <w:tc>
          <w:tcPr>
            <w:tcW w:w="1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700,000</w:t>
            </w:r>
          </w:p>
        </w:tc>
        <w:tc>
          <w:tcPr>
            <w:tcW w:w="1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1,256,732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3,118,349</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IU Kim, Head of Nanox Korea</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60,000</w:t>
            </w:r>
          </w:p>
        </w:tc>
        <w:tc>
          <w:tcPr>
            <w:tcW w:w="1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3,264,595</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3,564,595</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Ofir Koren, Head of the Nanox.ARC Division</w:t>
            </w: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228,725</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70,708</w:t>
            </w:r>
          </w:p>
        </w:tc>
        <w:tc>
          <w:tcPr>
            <w:tcW w:w="1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36,374</w:t>
            </w:r>
          </w:p>
        </w:tc>
        <w:tc>
          <w:tcPr>
            <w:tcW w:w="1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941,718</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1,277,525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Dara, Head of Source and Services Division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270,000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31,843</w:t>
            </w:r>
          </w:p>
        </w:tc>
        <w:tc>
          <w:tcPr>
            <w:tcW w:w="1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75,000</w:t>
            </w:r>
          </w:p>
        </w:tc>
        <w:tc>
          <w:tcPr>
            <w:tcW w:w="1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941,718</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1,318,561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Israeli law, all amounts reported in the table are in terms of cost to our Company, as recorded in our financial statements for the year ended December 31, 2022.</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compensation amounts denominated in currencies other than the U.S. dollar were converted into U.S. dollars at the average conversion rate for the year ended December 31, 2022.</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include benefits and perquisites, including those mandated by applicable law. Such benefits and perquisites may include, to the extent applicable to each executive, payments, contributions and/or allocations for pension, severance, vacation, car or car allowance, convalescence pay, payments for social security, tax gross-up payments and other benefits and perquisites consistent with our guidelines, regardless of whether such amounts have actually been paid to the executive.</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refer to Variable Compensation such as incentives and earned or paid bonuses as recorded in our financial statements for the year ended December 31, 2022. With respect to Mr. Meltzer, the reported amount represents an advance paid to him on account of his 2022 annual bonus, subject to recourse (clawback) for any amount of the 2022 annual bonus that is not earned in excess of $450,000 (the guaranteed portion of Mr. Meltzer’s 2022 annual bonus).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represent the expense recorded in our financial statements for the year ended December 31, 2022 with respect to equity-based compensation, reflecting also equity awards made in previous years which have vested during the current year. Assumptions and key variables used in the calculation of such amounts are described in Note 12 to our audited consolidated financial statements, which are included elsewhere in this annual report on Form 20-F.</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 Poliakine ceased to serve as our Chief Executive Officer on December 31, 2021 and his employment formally terminated effective as of September 30, 2022.</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pay each of our non-employee directors (other than Mr. Ran Poliakine, the non-executive Chairman of our Board of Directors) a cash fee of $36,000 per year plus an additional annual fee for service on a board committee of $7,500 per each committee (or $15,000 for the chairperson of a committee).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4" w:name="page95"/>
    <w:bookmarkEnd w:id="9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Mr. Ran Poliakine, who served as our Chief Executive Officer until December 31, 2021 and as Executive Chairman of our Board of Directors until September 30, 2022, began to serve as a non-executive Chairman of our Board of Directors effective as of October 1, 2022. In lieu of cash compensation for his services as non-executive Chairman of the Board of Directors, Mr. Poliakine was granted options to purchase 85,000 ordinary shares, at an exercise price of $17.63 per share, pursuant to the approval of our shareholders at the annual general meeting held on December 28, 2022. The options shall vest in 16 equal installments over a period of four years, such that 6.25% of the options shall vest on each of the three-month anniversaries of the effective vesting commencement date, which is October 1, 2022 (the date of the commencement of his service as non-executive Chairman of the Board of Directors), subject to Mr. Poliakine’s continuing service as Chairman of the Board of Directors on each applicable vesting date, and will be exercisable for a period of 24 months following termination of service. The vesting of any outstanding options shall fully accelerate upon an M&amp;A Transaction, as defined in the 2019 Equity Incentive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Directorship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previously entered into directorship agreements with certain of our directors in connection with their initial nomination to our board of directors. There are currently no arrangements or understandings between us, on the one hand, and any of our directors, on the other hand, providing for benefits upon termination of their service as directors of our Company; however, our agreement with Mr. Erez Meltzer, our Chief Executive Officer and a director, provides for benefits upon termination of his service as Chief Executive Officer, as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written agreements with all of our current executive officers. These agreements provide for notice periods of varying duration for termination of the agreement by us or by the relevant executive officer, during which time the executive officer will continue to receive base salary and benefits. These agreements also contain customary provisions regarding non-competition, confidentiality of information and assignment of inventions. However, the enforceability of the non-competition provisions may be limited under applicable law. See “Item 3. Key Information—D. Risk Factors—Risks Related to Employee Matters—Under applicable employment laws, we may not be able to enforce covenants not to compete and therefore may be unable to prevent our competitors from benefitting from the expertise of some of our former employees” for a further description of the enforceability of non-competition clauses.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entered into an employment agreement with Mr. Meltzer, who has served as a director since December 2019, in connection with his appointment as our Chief Executive Officer, effective as of January 1, 2022. Under the agreement, Mr. Meltzer is entitled to a gross annual salary of $900,000. In addition, Mr. Meltzer is entitled to an annual bonus (discretionary and based on measurable criteria) of $900,000, with a guaranteed bonus of at least $450,000 for the 2022 fiscal year if his employment is continued through the entire fiscal year, with the possibility to withdraw an advance payment on account of the 2022 annual bonus, subject to recourse (clawback) for any amount of the 2022 annual bonus that is not earned in excess of the guaranteed portion of the 2022 annual bonus. Accordingly, in 2022, Mr. Meltzer withdrew an advance payment in the amount of $700,000 on account of his 2022 annual bonus, subject to resource (clawback) as described. Under the agreement, we and Mr. Meltzer are required to provide six months’ prior notice of employment termination (except for “Cause” as defined in his employment agreement, in which case no prior notice will be required). If we terminate Mr. Meltzer’s employment and waive his obligation to perform services during the notice period, Mr. Meltzer will be entitled to receive payments of his base salary, social benefits and a company car in lieu of notice for the waived period, up to the full notice period for an immediate termination. In connection with his appointment as our Chief Executive Officer, we granted Mr. Meltzer options to purchase 300,000 ordinary shares at an exercise price of US$23.84 (which may be by way of a cashless exercise mechanism) under our 2019 Equity Incentive Plan. The options vest over a period of four years, such that 25% of the options vested on the first anniversary of the date of grant and thereafter, the options vest equally on a quarterly basis, subject to the continuous engagement by us at each vesting date. These options will have full acceleration in case of consummation of an M&amp;A Transaction (as such term is defined under our 2019 Equity Incentive Plan). The above equity compensation is in addition to Mr. Meltzer’s equity compensation as a director. Mr. Meltzer does not receive additional cash compensation as a director.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3, 2019, we adopted the 2019 Equity Incentive Plan and its U.S. sub-Plan (the “2019 Equity Incentive Plan”). The 2019 Equity Incentive Plan is intended to afford an incentive to any of our and our affiliates’ employees, directors, officers, consultants, advisors and any other person or entity who provides services to us, to continue as service providers, to increase their efforts on our and our affiliates’ behalf and to promote our success, by providing such persons with opportunities to acquire a proprietary interest in us. The U.S. sub-Plan applies to our and any of our affiliates’ employees, directors, officers, consultants, advisors and any other person or entity who provides services to us who are subject to United States federal income tax.</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under the 2019 Equity Incentive Plan and its U.S. sub-Plan up to 8,041,936 of our ordinary shares, subject to adjustment if particular capital changes affect our share capital or such other number as our board of directors may determine from time to time. Ordinary shares subject to outstanding awards under the 2019 Equity Incentive Plan and its U.S. sub-Plan that subsequently expire, or are cancelled, forfeited or terminated for any reason before being exercised will be automatically, and without any further action, returned to the share reserve under the 2019 Equity Incentive Plan and will again be available for grant.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5" w:name="page96"/>
    <w:bookmarkEnd w:id="9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our directors and officers were granted a total of options to purchase an aggregate of 699,500 ordinary shares, with a weighted average exercise price of $20.29 per share. As of December 31, 2022, options to purchase 1,890,561 ordinary shares granted to our executive officers and directors under our 2019 Equity Incentive Plan, at a weighted average exercise price of $16.78, granted under the 2019 Equity Incentive Plan, were outstanding.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description of our compensation policy, see “Item 6. Directors, Senior Management and Employees—C. Board Practices—Compensation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six directors. Four of our directors qualify as independent directors under the corporate governance standards of the Nasdaq corporate governance rules and the independence requirements of Rule 10A-3 of the Exchange Act.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our amended and restated articles of association, the number of directors on our board of directors will be no less than five and no more than ten. The minimum and maximum number of directors may be changed, at any time and from time to time, by vote of our shareholders.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directors are divided into three classes with staggered three-year terms. Each class of directors consists, as nearly as possible, of one-third of the total number of directors constituting the entire board of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Each director holds office until the third annual general meeting of our shareholders and until his or her successor is duly appointed, unless the tenure of such director expires earlier pursuant to the Companies Law or unless removed from office as described below.</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directors are divided among three classes as follows: the Class I directors, consisting of Erez Meltzer, will hold office until our annual general meeting of shareholders to be held in 2024; the Class II directors, consisting of Erez Alroy and Noga Kainan, will hold office until our annual general meeting of shareholders to be held in 2025; and the Class III directors, consisting of Ran Poliakine, Dan Suesskind and So Young Shin, will hold office until our annual general meeting of shareholders to be held in 2023.</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the directors shall be elected by a vote of the holders of a majority of the voting power present and voting at that meeting (excluding abstentions). Each director will hold office until the annual general meeting of our shareholders for the year in which his or her term expires, unless the tenure of such director expires earlier pursuant to the Companies Law or unless he or she is removed from office. Under our amended and restated articles of association, the approval of the holders of at least sixty-six and two-thirds percent or more of the votes cast by those shareholders voting in person or by proxy (including by voting deed) is required to remove any of our directors from office (excluding abstentions).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our amended and restated articles of association, our board of directors may appoint directors to fill vacancies on our board of directors, including if the number of directors is below the maximum number of directors who may serve as provided in our amended and restated articles, for a term of office equal to the remaining period of the term of office of the director(s) whose office(s) has been vacated, or in case of a vacancy due to the number of directors serving being less than the maximum number stated in our amended and restated articles, the board of directors shall determine at the time of appointment the class to which the additional director shall be assigned.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Israeli law, the chief executive officer or a relative of the chief executive officer of a public company may not serve as the chairman of the board of directors of the company and the chairman or a relative of the chairman may not be vested with the authority of the chief executive officer, in each case, unless approved by our shareholders by a special majority vote as discussed below with respect to the approval of director compensation, as required under the Companies Law. The shareholders’ approval can be provided for a period of five years following an initial public offering, and subsequently, for additional periods of up to three years. In addition, a person who is subordinated, directly or indirectly, to the chief executive officer may not serve as the chairman of the board of directors; the chairman of the board of directors may not be vested with authorities that are granted to persons who are subordinated to the chief executive officer; and the chairman of the board of directors may not serve in any other position in the company or in a controlled subsidiary, but he or she may serve as a director or chairman of a controlled subsidiary. Prior to our initial public offering, we obtained our shareholders’ approval that Mr. Ran Poliakine may serve as both our chairman of the board of directors and chief executive officer for a period of up to five years from the closing of our initial public offering. Mr. Poliakine retired from the position of Chief Executive Officer effective as of December 31, 2021 and continues to serve as non-executive chairman of our board of directors.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6" w:name="page97"/>
    <w:bookmarkEnd w:id="9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under the Companies Law, our board of directors must determine the minimum number of directors who are required to have financial and accounting expertise. Under applicable regulations, a director with financial and accounting expertise is a director who, by reason of his or her education, professional experience and skill, has a high level of proficiency in and understanding of business accounting matters and financial statements. He or she must be able to thoroughly comprehend the financial statements of the company and initiate debate regarding the manner in which financial information is presented. In determining the number of directors required to have such expertise, the board of directors must consider, among other things, the type and size of the company and the scope and complexity of its operations. Our board of directors has determined that we require at least one director with the requisite financial and accounting expertise and that Noga Kainan has such expertise.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among any of our officers and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companies incorporated under the laws of the State of Israel, whose shares are publicly traded, including companies with shares listed on the Nasdaq, are required to appoint at least two external directors within three months of the closing of the initial public offering. While we exceeded the three-month period, our shareholders approved the appointment of two external directors, Noga Kainan and Dan Suesskind as external directors in February 2021.</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pursuant to regulations promulgated under the Companies Law, companies that do not have a controlling shareholder (within the meaning of the Companies Law) with shares traded on certain U.S. stock exchanges, including the Nasdaq Global Market, may, subject to certain conditions, “opt out” from the Companies Law requirements to appoint external directors and related Companies Law rules concerning the composition of the audit committee and compensation committee of the board of directors.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28, 2022, in accordance with these regulations, our board of directors elected to “opt out” from the Companies Law requirement to appoint external directors and related Companies Law rules concerning the composition of the audit committee and compensation committee of the board of directors, effective as of March 31, 2022. Under these regulations, the exemptions from such Companies Law requirements will continue to be available to us so long as: (i) we do not have a “controlling shareholder” (as such term is defined under the Companies Law), (ii) our shares are traded on certain U.S. stock exchanges, including the Nasdaq Global Market, and (iii) we comply with the director independence requirements and the audit committee and compensation committee composition requirements under U.S. laws (including applicable Nasdaq rules) applicable to U.S. domestic issuers. Our directors who were previously designated as external directors, Noga Kainan and Dan Suesskind, continue to serve to serve as “ordinary” (non-external) directors, as Class II and Class III directors, respectively, until the end of the term of their respective class.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Companies Law Requirements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regulations promulgated under the Companies Law described above, on March 28, 2022, our board of directors elected to “opt out” from the Companies Law requirement to appoint external directors and related rules concerning the composition of the audit committee and compensation committee, effective as of March 31, 2022. Under such exemption, among other things, the composition of our audit committee must comply with the requirements of SEC and Nasdaq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Listing Requirements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Nasdaq corporate governance rules, we are required to maintain an audit committee consisting of at least three independent directors, all of whom are financially literate, none of whom has participated in the preparation of our or any of our subsidiary’s financial statements at any time during the prior three years and one of whom has accounting or related financial management expertise.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U.S. law and Nasdaq requirements, our audit committee is responsible for the appointment, compensation and oversight of the work of our independent auditors and for assisting our board of directors in monitoring our financial statements, the effectiveness of our internal controls and our compliance with legal and regulatory requirements.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 committee currently consists of Noga Kainan, Dan Suesskind and Erez Alroy. Noga Kainan serves as chairperson of the audit committee. Our board of directors has determined, in its business judgment, that each of Noga Kainan and Dan Suesskind is an audit committee financial expert as defined by the SEC rules and has the requisite financial experience as defined by the Nasdaq corporate governance rules.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7" w:name="page98"/>
    <w:bookmarkEnd w:id="97"/>
    <w:p>
      <w:pPr>
        <w:ind w:left="660"/>
        <w:spacing w:after="0"/>
        <w:rPr>
          <w:sz w:val="20"/>
          <w:szCs w:val="20"/>
          <w:color w:val="auto"/>
        </w:rPr>
      </w:pPr>
      <w:r>
        <w:rPr>
          <w:rFonts w:ascii="Times New Roman" w:cs="Times New Roman" w:eastAsia="Times New Roman" w:hAnsi="Times New Roman"/>
          <w:sz w:val="18"/>
          <w:szCs w:val="18"/>
          <w:color w:val="auto"/>
        </w:rPr>
        <w:t>Each of the members of the audit committee is required to be “independent” as such term is defined in Rule 10A-3(b)(1) under the Exchange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Role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an audit committee charter setting forth the responsibilities of the audit committee consistent with the rules of the SEC and the Nasdaq corporate governance rules, as well as the requirements for such committee under the Companies Law, which include:</w:t>
      </w:r>
    </w:p>
    <w:p>
      <w:pPr>
        <w:spacing w:after="0" w:line="162" w:lineRule="exact"/>
        <w:rPr>
          <w:sz w:val="20"/>
          <w:szCs w:val="20"/>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retention and termination of our independent registered public accounting firm to the board of directors in accordance with Israeli law;</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in accordance with Israeli law the appointment, compensation, retention and oversight of any accounting firm engaged for the purpose of preparing or issuing an audit report or performing other audit services;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terms of audit and non-audit services to be provided by the independent registered public accounting firm for pre-approval by our board of directors;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engagement or termination of the person filling the office of our internal auditor;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directors our financial statements prior to their submission to the SEC;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certain transactions with office holders and controlling shareholders, as described below, and other related party transactions.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under the Companies Law, the role of the audit committee includes the identification of irregularities in our business management, among other things, by consulting with the internal auditor or our independent auditors and suggesting an appropriate course of action to the board of directors. The audit committee is also required to adopt procedures with respect to processing of employees’ complaints in connection with deficiencies in the management of the company, and the appropriate means of protection afforded to such employees. In addition, the audit committee or the board of directors, as set forth in the articles of association of the company, is required to approve the yearly or periodic work plan proposed by the internal auditor, and where the board of directors approves such work plan, to examine such work plan before its submission to the board of directors and propose amendments thereto. The audit committee is required to assess the company’s internal audit system and the performance of its internal auditor. The Companies Law also requires that the audit committee assess the scope of the work and compensation of the company’s external auditor. In addition, the audit committee is required to determine whether certain related party actions and transactions are “material” or “extraordinary” for the purpose of the requisite approval procedures under the Companies Law and whether certain transactions with a controlling shareholder will be subject to a competitive procedure.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charter states that in fulfilling its role the committee is empowered to conduct or authorize investigations into any matters within its scope of responsibilities.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Transactions with Related Parties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approval of the audit committee is required to effect specified actions and transactions with office holders and controlling shareholders and their relatives, or in which they have a personal interest. The audit committee may not approve an action or a transaction with a controlling shareholder or with an office holder unless, among other things, at the time of approval the audit committee meets the composition requirements under the Companies Law.</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Companies Law requires that an office holder promptly disclose to the company and, in any event, not later than the board meeting at which the transaction is first discussed, any personal interest that he or she may have, and all related material information known to him or her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8" w:name="page99"/>
    <w:bookmarkEnd w:id="9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it is determined that an office holder has a personal interest in a non-extraordinary transaction, meaning any transaction that is in the ordinary course of business, on market terms and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members of the audit committee or the board of directors have a personal interest in the approval of such a transaction then all of the directors may participate in deliberations of the audit committee or board of directors, as applicable, with respect to such transaction and vote on the approval thereof and, in such case, shareholder approval is also required.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regulations promulgated under the Companies Law described above, on March 28, 2022, our board of directors elected to “opt out” from the Companies Law requirement to appoint external directors and related rules concerning the composition of the audit committee and compensation committee, effective as of March 31, 2022.</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Nasdaq corporate governance rules, we are required to maintain a compensation committee consisting of at least two directors, each of whom is an independent director within the meaning of the Nasdaq corporate governance rules. Our compensation committee currently complies with the provisions of Nasdaq corporate governance rules relating to composition requirements.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currently consists of Dan Suesskind, Noga Kainan and Erez Alroy. Dan Suesskind serves as chairperson of the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Role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the Companies Law, the roles of the compensation committee are, among others, as follows:</w:t>
      </w:r>
    </w:p>
    <w:p>
      <w:pPr>
        <w:spacing w:after="0" w:line="225" w:lineRule="exact"/>
        <w:rPr>
          <w:sz w:val="20"/>
          <w:szCs w:val="20"/>
          <w:color w:val="auto"/>
        </w:rPr>
      </w:pPr>
    </w:p>
    <w:p>
      <w:pPr>
        <w:jc w:val="both"/>
        <w:ind w:left="980" w:hanging="324"/>
        <w:spacing w:after="0" w:line="26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to the board of directors the compensation policy for directors and officers, and, once every three years, or five years from a company’s initial public offering, to recommend to the board of directors, whether the compensation policy that had been approved should be extended for a longer period of time;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to the board of directors updates to the compensation policy, from time to time, and examine its implementation;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decide whether to approve the terms of office and employment of directors and officers that require approval of the compensation committee;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decide whether the compensation terms of the chief executive officer, which were determined pursuant to the compensation policy, will be exempted from approval by the shareholders because such approval would harm the ability to engage the chief executive officer.</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roles mentioned above, our compensation committee may also make recommendations to our board of directors regarding the awarding of employee equity grants.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Policy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general, under the Companies Law, a public company must have a compensation policy that applies to its office holders approved by the board of directors after receiving and considering the recommendations of the compensation committee. In addition, the compensation policy, which must be approved at least once every three years, or five years after a company’s initial public offering, requires the approval of the general meeting of the shareholders. In public companies such as our company, shareholder approval by a majority vote of the ordinary shares present and voting at a meeting of shareholders called for such purpose is required, provided that either: (i) such majority includes the majority of the votes of those shareholders who are non-controlling shareholders and shareholders who do not have a personal interest in the approval of the compensation policy, who voted at the meeting (excluding abstentions) or (ii) the total number of votes against the proposal among the shareholders mentioned in clause (i) does exceed 2% of the voting rights in the company. Under special circumstances, the board of directors may approve the compensation policy despite the objection of the shareholders on the condition that the compensation committee and then the board of directors decide, on the basis of detailed arguments and after discussing again the compensation policy, that approval of the compensation policy, despite the objection of the meeting of shareholders, is in the best interests of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if a company initially offering its securities to the public, adopts a compensation policy in advance of its initial public offering, and describes the compensation policy in the prospectus relating to the offering, or adopts a compensation policy within nine months from the date the company becomes a public company, then the compensation policy is deemed a validly adopted policy in accordance with the Companies Law requirements described above and will be valid for a term of five years from the date such company becomes a public company.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policy must be based on certain considerations, include certain provisions and needs to reference certain matters as set forth in the Companies Law.</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relate to certain factors, including advancement of the company’s objectives, business plan and long-term strategy, and creation of appropriate incentives for office holders. It must also consider, among other things, the company’s risk management, size and the nature of its operations. The compensation policy must furthermore consider the following additional factors:</w:t>
      </w:r>
    </w:p>
    <w:p>
      <w:pPr>
        <w:spacing w:after="0" w:line="183"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education, skills, experience, expertise and accomplishments of the relevant office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holder’s position, responsibilities and prior compensation agreements with him or her;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between the cost of the terms of employment of an office holder and the cost of the employment of other employees of the company, including employees employed through contractors who provide services to the company, in particular the ratio between such cost, the average and median salary of the employees of the company, as well as the impact of such disparities on the work relationships in the company;</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terms of employment include variable components — the possibility of reducing variable components at the discretion of the board of directors and the possibility of setting a limit on the exercise value of non-cash variable equity-based components;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terms of employment include severance compensation — the term of employment or office of the office holder, the terms of his or her compensation during such period, the company’s performance during the such period, his or her individual contribution to the achievement of the company goals and the maximization of its profits and the circumstances under which the office holder is leaving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policy must also include, with regard to variable components:</w:t>
      </w:r>
    </w:p>
    <w:p>
      <w:pPr>
        <w:spacing w:after="0" w:line="225" w:lineRule="exact"/>
        <w:rPr>
          <w:sz w:val="20"/>
          <w:szCs w:val="20"/>
          <w:color w:val="auto"/>
        </w:rPr>
      </w:pPr>
    </w:p>
    <w:p>
      <w:pPr>
        <w:jc w:val="both"/>
        <w:ind w:left="980" w:hanging="324"/>
        <w:spacing w:after="0" w:line="261"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office holders who are subordinate to the chief executive officer, determining the variable components on long-term performance basis and on measurable criteria; however, the company may determine that an immaterial part of the variable components of the compensation package of an office holder shall be awarded based on non-measurable criteria, if such amount is not higher than three monthly salaries per annum while taking into account the office holder’s contribution to the company;</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between variable and fixed components, as well as the limit of the values of variable components at the time of their grant.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condition under which the office holder will return to the company, according to conditions to be set forth in the compensation policy, any amounts paid as part of his or her terms of employment, if such amounts were paid based on information later to be discovered to be wrong, and such information was than re-presented in the company’s financial statements;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holding or vesting period of variable equity-based components, while taking into consideration long-term incentives;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 to retirement grants.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0" w:name="page101"/>
    <w:bookmarkEnd w:id="10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compensation policy was approved by the board of directors and the shareholders on February 9, 2021, and will be in effect for a period of five years from the date of approval. Our compensation policy is designed to promote retention and motivation of directors and executive officers, incentivize superior individual excellence, align the interests of our directors and executive officers with our long-term performance and provide a risk management tool. To that end, a portion of an executive officer’s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for equity-based compensation.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compensation policy also addresses our executive officers’ individual characteristics (such as his or her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relocation, signing and special bonuses) as well as change of control related bonuses, equity-based compensation, benefits and retirement and termination of employment arrangements. All cash bonuses are limited to a maximum amount linked to the executive officer’s base salary (or to the total annual compensation in the case of the special bonus for special achievements).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annual cash bonus may be awarded to executive officers upon the attainment of pre-set periodic objectives and individual targets. The annual cash bonus that may be granted to our executive officers, other than our chief executive officer, will be based on performance objectives and a discretionary evaluation of the executive officer’s overall performance by our chief executive officer, subject to minimum thresholds. Furthermore, the performance objectives will be recommended by our chief executive officer and approved by our compensation committee (and, if required by law, by our board of directors).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performance measurable objectives of our chief executive officer, which will be determined annually by our compensation committee and board of directors, will include the weight to be assigned to each achievement in the overall evaluation. A less significant portion of the chief executive officer’s annual cash bonus may be based on a discretionary evaluation of the chief executive officer’s overall performance by the compensation committee and the board of directors based on quantitative and qualitative criteria.</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equity-based compensation under our compensation policy for our executive officers is designed in a manner consistent with the underlying objectives in 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 Our compensation policy entitles our executive officers to compensation in the form of share options or other equity-based awards, such as RSUs, in accordance with our share incentive plan then in place (subject to the compensation committee’s approval or the approval of the board of directors). All equity-based incentives granted to executive officers shall be subject to vesting periods in order to promote long-term retention of the awarded executive officers. The equity-based compensation may be granted from time to time and will be individually determined and awarded according to the performance, educational background, prior business experience, qualifications, role and the personal responsibilities of the executive officer.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compensation policy contains compensation recovery provisions which allows us under certain conditions to recover bonuses paid in excess, enables our chief executive officer to approve an immaterial change in the terms of employment of an executive officer (provided that the changes of the terms of employment are in accordance with our compensation policy) and allows us to exculpate, indemnify and insure our executive officers and directors, subject to certain limitations set forth thereto.</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compensation policy also governs the compensation of the members of our board of directors and determines that the compensation of non-executive directors shall be in accordance with the Companies Regulations (Rules Regarding the Compensation and Expenses of an External Director), 5760-2000, as amended by the Companies Regulations (Relief for Public Companies Traded in Stock Exchange Outside of Israel), 5760-2000, or non-executive directors may be paid cash compensation in the form of an annual fee for service on the Board of Directors and its committees in the amounts not to exceed those set forth in the compensation policy. Our directors may also be entitled to receive equity-based compensation in the form of restricted shares, RSUs or share options subject to an annual maximum and to a vesting period in order to promote long-term retention of the awarded director, subject to the approval of our shareholders, as required under the Companies Law. Furthermore, the chairman of our board of directors may be entitled to a higher cash base compensation or equity-based compensation.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Compensation of Directors and Executive Officers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Directors. </w:t>
      </w:r>
      <w:r>
        <w:rPr>
          <w:rFonts w:ascii="Times New Roman" w:cs="Times New Roman" w:eastAsia="Times New Roman" w:hAnsi="Times New Roman"/>
          <w:sz w:val="18"/>
          <w:szCs w:val="18"/>
          <w:color w:val="auto"/>
        </w:rPr>
        <w:t>Under the Companies Law, the compensation of our directors requires the approval of our compensation committee, the subsequent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the board of directors and, unless exempted under regulations promulgated under the Companies Law, the approval of the shareholders at a general meeting. If the compensation of our directors is inconsistent with our stated compensation policy, then those provisions that must be included in the compensation policy according to the Companies Law must have been considered by the compensation committee and board of directors, and shareholder approval will also be required, provided that:</w:t>
      </w:r>
    </w:p>
    <w:p>
      <w:pPr>
        <w:spacing w:after="0" w:line="185" w:lineRule="exact"/>
        <w:rPr>
          <w:sz w:val="20"/>
          <w:szCs w:val="20"/>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non-controlling shareholders and shareholders who do not have a personal interest in such matter and who vote against the compensation package does not exceed two percent (2%) of the aggregate voting rights in the Company.</w:t>
      </w:r>
    </w:p>
    <w:p>
      <w:pPr>
        <w:spacing w:after="0" w:line="160"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Executive officers other than the Chief Executive Officer. </w:t>
      </w:r>
      <w:r>
        <w:rPr>
          <w:rFonts w:ascii="Times New Roman" w:cs="Times New Roman" w:eastAsia="Times New Roman" w:hAnsi="Times New Roman"/>
          <w:sz w:val="18"/>
          <w:szCs w:val="18"/>
          <w:color w:val="auto"/>
        </w:rPr>
        <w:t>The Companies Law requires the approval of the compensation of a public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(other than the chief executive officer) in the following order: (i) the compensation committee, (ii) the company’s board of directors, and</w:t>
      </w:r>
    </w:p>
    <w:p>
      <w:pPr>
        <w:jc w:val="both"/>
        <w:ind w:firstLine="8"/>
        <w:spacing w:after="0" w:line="252" w:lineRule="auto"/>
        <w:tabs>
          <w:tab w:leader="none" w:pos="32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compensation arrangement is inconsistent with the company’s stated compensation policy, the company’s shareholders (by a special majority vote as discussed above with respect to the approval of director compensation), provided that the compensation committee and the board of directors members have considered those provisions that must be included in the compensation policy according to the Companies Law. However, if the shareholders of the company do not approve a compensation arrangement with an executive officer that is inconsistent with the company’s stated compensation policy, the compensation committee and board of directors may override the shareholders’ decision if each of the compensation committee and the board of directors provide detailed reasons for their decision after re-evaluation of the arrangement, including in view of the shareholders’ objections.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 amendment to an existing arrangement with an office holder who is not the chief executive officer, or a director requires only the approval of the compensation committee, if the compensation committee determines that the amendment is not material in comparison to the existing arrangement. However, according to regulations promulgated under the Companies Law, an amendment to an existing arrangement with an office holder (who is not a director) who is subordinate to the chief executive officer shall not require the approval of the compensation committee if (i) the amendment is approved by the chief executive officer and the company’s compensation policy provides that a non-material amendment to the terms of service of an office holder (other than the chief executive officer) may be approved by the chief executive officer and (ii) the engagement terms are consistent with the company’s compensation policy.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Chief Executive Officer</w:t>
      </w:r>
      <w:r>
        <w:rPr>
          <w:rFonts w:ascii="Times New Roman" w:cs="Times New Roman" w:eastAsia="Times New Roman" w:hAnsi="Times New Roman"/>
          <w:sz w:val="17"/>
          <w:szCs w:val="17"/>
          <w:color w:val="auto"/>
        </w:rPr>
        <w:t>. Under the Companies Law, the compensation of a public company’s chief executive officer is required to be approved by:</w:t>
      </w:r>
    </w:p>
    <w:p>
      <w:pPr>
        <w:spacing w:after="0" w:line="41" w:lineRule="exact"/>
        <w:rPr>
          <w:sz w:val="20"/>
          <w:szCs w:val="20"/>
          <w:color w:val="auto"/>
        </w:rPr>
      </w:pPr>
    </w:p>
    <w:p>
      <w:pPr>
        <w:jc w:val="both"/>
        <w:ind w:firstLine="8"/>
        <w:spacing w:after="0" w:line="251" w:lineRule="auto"/>
        <w:tabs>
          <w:tab w:leader="none" w:pos="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compensation committee; (ii) the company’s board of directors, and (iii) the company’s shareholders (by a special majority vote as discussed above with respect to the approval of director compensation). However, if the shareholders of the company do not approve the compensation arrangement with the chief executive officer, the compensation committee and board of directors may override the shareholders’ decision if each of the compensation committee and the board of directors provide a detailed report for their decision. The approval of each of the compensation committee and the board of directors should be in accordance with the company’s stated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was obtained (by a special majority vote as discussed above with respect to the approval of director compensation). In addition, the compensation committee may waive the shareholder approval requirement with regards to the approval of the engagement terms of a candidate for the chief executive officer position, if they determine that the compensation arrangement is consistent with the company’s stated compensation policy and that the chief executive officer candidate did not have a prior business relationship with the company or a controlling shareholder of the company and that subjecting the approval of the engagement to a shareholder vote would impede the company’s ability to employ the chief executive officer candidate. In the event that the chief executive officer also serves as a member of the board of directors, his or her compensation terms as chief executive officer will be approved in accordance with the rules applicable to approval of compensation of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Fiduciary Duties of Office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Companies Law codifies the fiduciary duties that office holders owe to a company. 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 Each person listed in the table under </w:t>
      </w:r>
      <w:r>
        <w:rPr>
          <w:rFonts w:ascii="Times New Roman" w:cs="Times New Roman" w:eastAsia="Times New Roman" w:hAnsi="Times New Roman"/>
          <w:sz w:val="18"/>
          <w:szCs w:val="18"/>
          <w:i w:val="1"/>
          <w:iCs w:val="1"/>
          <w:color w:val="auto"/>
        </w:rPr>
        <w:t>“Management—Executive officers and directors”</w:t>
      </w:r>
      <w:r>
        <w:rPr>
          <w:rFonts w:ascii="Times New Roman" w:cs="Times New Roman" w:eastAsia="Times New Roman" w:hAnsi="Times New Roman"/>
          <w:sz w:val="18"/>
          <w:szCs w:val="18"/>
          <w:color w:val="auto"/>
        </w:rPr>
        <w:t xml:space="preserve"> is an office holder under the Companies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care of an office holder includes a duty to use reasonable means, in light of the circumstances, to obtain:</w:t>
      </w:r>
    </w:p>
    <w:p>
      <w:pPr>
        <w:spacing w:after="0" w:line="176" w:lineRule="exact"/>
        <w:rPr>
          <w:sz w:val="20"/>
          <w:szCs w:val="20"/>
          <w:color w:val="auto"/>
        </w:rPr>
      </w:pPr>
    </w:p>
    <w:p>
      <w:pPr>
        <w:ind w:left="980" w:right="2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business advisability of a given action brought for his or her approval or performed by him or her by virtue of his position;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2" w:name="page103"/>
    <w:bookmarkEnd w:id="102"/>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important information pertaining to such action.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duty of loyalty of an office holder requires an office holder to act in good faith and for the benefit of the company, and includes a duty to:</w:t>
      </w:r>
    </w:p>
    <w:p>
      <w:pPr>
        <w:spacing w:after="0" w:line="225" w:lineRule="exact"/>
        <w:rPr>
          <w:sz w:val="20"/>
          <w:szCs w:val="20"/>
          <w:color w:val="auto"/>
        </w:rPr>
      </w:pPr>
    </w:p>
    <w:p>
      <w:pPr>
        <w:ind w:left="98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conflict of interest between the performance of his or her duties in the company and the performance of his or her other duties or personal affairs;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action that is competitive with the company’s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exploiting any business opportunity of the company to receive a personal gain for him or herself or others;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to the company any information or documents relating to the company’s affairs which the office holder has received due to his or her position as an office holder.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a company may approve an act specified above which would otherwise constitute a breach of an office holder’s duty of loyalty, provided that the office holder acted in good faith, neither the act nor its approval harms the company and the office holder discloses his or her personal interest a sufficient time before the approval of such act. Any such approval is subject to the terms of the Companies Law setting forth, among other things, the appropriate bodies of the company required to provide such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Duties of Shareholders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Law, a shareholder has a duty to refrain from abusing his or her power in the company and to act in good faith and in a customary manner toward the company and other shareholders in exercising his or her rights and performing his or her obligations, including, among other things, in voting at general meetings of shareholders (and at shareholder class meetings) on the following matters:</w:t>
      </w:r>
    </w:p>
    <w:p>
      <w:pPr>
        <w:spacing w:after="0" w:line="176" w:lineRule="exact"/>
        <w:rPr>
          <w:sz w:val="20"/>
          <w:szCs w:val="20"/>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articles of association;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authorized share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related-party transactions that require shareholder approval.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shareholder also has a general duty to refrain from discriminating against other shareholders.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shareholders also have a duty of fairness toward the company. These shareholders include any controlling shareholder, any shareholder who knows that he or she has the power to determine the outcome of a shareholder vote and any shareholder who has the power to appoint or prevent the appointment of an office holder of the company or any other power towards the company under the company’s articles of association. The Companies Law does not define the substance of the duty of fairness, except to state that the remedies generally available upon a breach of contract will also apply in the event of a breach of the duty of fairness.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2022, we had 180 employees, of which 119 employees are based in Israel, 2 employees are based in Japan, 28 employees are based in the United States, 31 employees are based in Korea and the balance in other areas. We have never experienced any employment-related work stoppages and believe our relationship with our employees is good. The following table sets out our total number of employees by function for the last three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Area of Activity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shareholder value and the success of our company by motivating such individuals to perform to the best of their abilities and achieve our objectives.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the beneficial ownership of our ordinary shares by our directors and executive officers, see “Item 7. Major Shareholders and Related Party Transactions—A. Major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March 31, 2023 by:</w:t>
      </w:r>
    </w:p>
    <w:p>
      <w:pPr>
        <w:spacing w:after="0" w:line="225" w:lineRule="exact"/>
        <w:rPr>
          <w:sz w:val="20"/>
          <w:szCs w:val="20"/>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known by us to own beneficially more than 5% of our outstanding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beneficial ownership of our ordinary shares is determined in accordance with the rules of the SEC. Under these rules, a person is deemed to be a beneficial owner of a security if that person has or shares voting power, which includes the power to vote or to direct the voting of the security, or investment power, which includes the power to dispose of or to direct the disposition of the security. In determining beneficial ownership percentages, we deem ordinary shares that a shareholder has the right to acquire, including the ordinary shares issuable pursuant to options or warrants that are currently exercisable or exercisable or RSUs that vest within 60 days of March 31, 2023, if any, to be outstanding and to be beneficially owned by the person with such right to acquire additional ordinary shares for the purposes of computing the percentage ownership of that person, but we do not treat them as outstanding for the purpose of computing the percentage ownership of any other person. The percentage of ordinary shares beneficially owned is based on 55,150,345 ordinary shares outstanding as of March 31, 2023.</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where otherwise indicated, we believe, based on information furnished to us by such owners, that the beneficial owners of the ordinary shares listed below have sole investment and voting power with respect to such shares.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 of our shareholders have different voting rights from other shareholders. To the best of our knowledge, we are not owned or controlled, directly or indirectly, by another corporation or by any foreign government. We are not aware of any arrangement that may, at a subsequent date, result in a change of control of our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noted below, the address for each beneficial owner is c/o Communications Center, Neve Ilan, Israel 9085000.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r>
      <w:tr>
        <w:trPr>
          <w:trHeight w:val="237"/>
        </w:trPr>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3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20"/>
                <w:szCs w:val="20"/>
                <w:color w:val="auto"/>
              </w:rPr>
            </w:pPr>
          </w:p>
        </w:tc>
      </w:tr>
      <w:tr>
        <w:trPr>
          <w:trHeight w:val="216"/>
        </w:trPr>
        <w:tc>
          <w:tcPr>
            <w:tcW w:w="85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shareholders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SK square Co., Ltd. and SK Square Americas, Inc. (formerly known as SK Telecom TMT Investment Corp.)(1)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4,869,909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7.82%</w:t>
            </w:r>
          </w:p>
        </w:tc>
      </w:tr>
      <w:tr>
        <w:trPr>
          <w:trHeight w:val="216"/>
        </w:trPr>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Ran Poliakine(2)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3,342,071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5.64%</w:t>
            </w:r>
          </w:p>
        </w:tc>
      </w:tr>
      <w:tr>
        <w:trPr>
          <w:trHeight w:val="216"/>
        </w:trPr>
        <w:tc>
          <w:tcPr>
            <w:tcW w:w="8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Erez Meltzer(3)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128,107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Ran Daniel (4)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16,667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James Dara (5)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60,833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Ofir Koren (6)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60,417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Pini Ben Elazar (7)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14,583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Tamar Aharon Cohen (8)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23,625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Guy Yoskovitz (9)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48,928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Gali Yahav Attias (10)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Marina Gofman Feler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Orit Wimpfheimer (11)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15,489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Ran Poliakine(2)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3,342,071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5.64%</w:t>
            </w:r>
          </w:p>
        </w:tc>
      </w:tr>
      <w:tr>
        <w:trPr>
          <w:trHeight w:val="216"/>
        </w:trPr>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Erez Meltzer (3)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128,107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Noga Kainan (12)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15,627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Dan Suesskind (13)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15,627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Alroy (14)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 Young Shin (15)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15,755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directors and executive officers as a group (15 persons)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3,772,936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6.70%</w:t>
            </w:r>
          </w:p>
        </w:tc>
      </w:tr>
      <w:tr>
        <w:trPr>
          <w:trHeight w:val="223"/>
        </w:trPr>
        <w:tc>
          <w:tcPr>
            <w:tcW w:w="280" w:type="dxa"/>
            <w:vAlign w:val="bottom"/>
          </w:tcPr>
          <w:p>
            <w:pPr>
              <w:spacing w:after="0"/>
              <w:rPr>
                <w:sz w:val="19"/>
                <w:szCs w:val="19"/>
                <w:color w:val="auto"/>
              </w:rPr>
            </w:pPr>
          </w:p>
        </w:tc>
        <w:tc>
          <w:tcPr>
            <w:tcW w:w="8360" w:type="dxa"/>
            <w:vAlign w:val="bottom"/>
            <w:gridSpan w:val="3"/>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Amount represents less than 1%</w:t>
            </w: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outstanding ordinary shares.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93" w:lineRule="exact"/>
        <w:rPr>
          <w:sz w:val="20"/>
          <w:szCs w:val="20"/>
          <w:color w:val="auto"/>
        </w:rPr>
      </w:pPr>
    </w:p>
    <w:p>
      <w:pPr>
        <w:jc w:val="both"/>
        <w:ind w:left="460" w:hanging="452"/>
        <w:spacing w:after="0" w:line="266" w:lineRule="auto"/>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the Schedule 13G filed by SK square Co., Ltd. and SK Square Americas, Inc. with the SEC on February 14, 2022, consisting of (i) 2,607,466 ordinary shares and (ii) a warrant to purchase 2,262,443 ordinary shares held by SK Square Americas, Inc., a wholly owned subsidiary of SK square. Co., Ltd.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596" w:gutter="0" w:footer="0" w:header="0"/>
        </w:sectPr>
      </w:pPr>
    </w:p>
    <w:bookmarkStart w:id="104" w:name="page105"/>
    <w:bookmarkEnd w:id="104"/>
    <w:p>
      <w:pPr>
        <w:ind w:left="452" w:hanging="452"/>
        <w:spacing w:after="0"/>
        <w:tabs>
          <w:tab w:leader="none" w:pos="4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13G/A filed by Ran Poliakine with the SEC on February 14, 2023 and other information available to the company. Represents</w:t>
      </w:r>
    </w:p>
    <w:p>
      <w:pPr>
        <w:spacing w:after="0" w:line="27" w:lineRule="exact"/>
        <w:rPr>
          <w:rFonts w:ascii="Times New Roman" w:cs="Times New Roman" w:eastAsia="Times New Roman" w:hAnsi="Times New Roman"/>
          <w:sz w:val="18"/>
          <w:szCs w:val="18"/>
          <w:color w:val="auto"/>
        </w:rPr>
      </w:pPr>
    </w:p>
    <w:p>
      <w:pPr>
        <w:ind w:left="452"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2,626,927 ordinary shares and (ii) options to purchase 715,144 ordinary shares currently exercisable or exercisable within 60 days of March 31, 2023.</w:t>
      </w:r>
    </w:p>
    <w:p>
      <w:pPr>
        <w:spacing w:after="0" w:line="181"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7,917 ordinary shares, and (ii) options to purchase 120,190 ordinary shares exercisable within 60 days of March 31, 2023.</w:t>
      </w:r>
    </w:p>
    <w:p>
      <w:pPr>
        <w:spacing w:after="0" w:line="22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16,667 ordinary shares currently exercisable or exercisable within 60 days of March 31, 2023.</w:t>
      </w:r>
    </w:p>
    <w:p>
      <w:pPr>
        <w:spacing w:after="0" w:line="22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60,833 ordinary shares currently exercisable or exercisable within 60 days of March 31, 2023.</w:t>
      </w:r>
    </w:p>
    <w:p>
      <w:pPr>
        <w:spacing w:after="0" w:line="22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60,417 ordinary shares currently exercisable or exercisable within 60 days of March 31, 2023.</w:t>
      </w:r>
    </w:p>
    <w:p>
      <w:pPr>
        <w:spacing w:after="0" w:line="22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14,583 ordinary shares currently exercisable or exercisable within 60 days of March 31, 2023.</w:t>
      </w:r>
    </w:p>
    <w:p>
      <w:pPr>
        <w:spacing w:after="0" w:line="22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23,625 ordinary shares currently exercisable or exercisable within 60 days of March 31, 2023.</w:t>
      </w:r>
    </w:p>
    <w:p>
      <w:pPr>
        <w:spacing w:after="0" w:line="225" w:lineRule="exact"/>
        <w:rPr>
          <w:rFonts w:ascii="Times New Roman" w:cs="Times New Roman" w:eastAsia="Times New Roman" w:hAnsi="Times New Roman"/>
          <w:sz w:val="18"/>
          <w:szCs w:val="18"/>
          <w:color w:val="auto"/>
        </w:rPr>
      </w:pPr>
    </w:p>
    <w:p>
      <w:pPr>
        <w:ind w:left="452" w:hanging="452"/>
        <w:spacing w:after="0" w:line="282" w:lineRule="auto"/>
        <w:tabs>
          <w:tab w:leader="none" w:pos="4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35,353 ordinary shares and (ii) 13,575 options to purchase ordinary shares currently exercisable or exercisable within 60 days of March 31, 2023.</w:t>
      </w:r>
    </w:p>
    <w:p>
      <w:pPr>
        <w:spacing w:after="0" w:line="161"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5,833 ordinary shares currently exercisable or exercisable within 60 days of March 31, 2023.</w:t>
      </w:r>
    </w:p>
    <w:p>
      <w:pPr>
        <w:spacing w:after="0" w:line="22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options to purchase 15,489 ordinary shares currently exercisable or exercisable within 60 days of March 31, 2023.</w:t>
      </w:r>
    </w:p>
    <w:p>
      <w:pPr>
        <w:spacing w:after="0" w:line="22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15,627 ordinary shares currently exercisable or exercisable within 60 days of March 31, 2023.</w:t>
      </w:r>
    </w:p>
    <w:p>
      <w:pPr>
        <w:spacing w:after="0" w:line="22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15,627 ordinary shares currently exercisable or exercisable within 60 days of March 31, 2023.</w:t>
      </w:r>
    </w:p>
    <w:p>
      <w:pPr>
        <w:spacing w:after="0" w:line="22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9,375 ordinary shares currently exercisable or exercisable within 60 days of March 31, 2023.</w:t>
      </w:r>
    </w:p>
    <w:p>
      <w:pPr>
        <w:spacing w:after="0" w:line="22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15,755 ordinary shares currently exercisable or exercisable within 60 days of March 31, 2023.</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77" w:right="339" w:bottom="1440" w:gutter="0" w:footer="0" w:header="0"/>
        </w:sectPr>
      </w:pPr>
    </w:p>
    <w:bookmarkStart w:id="105" w:name="page106"/>
    <w:bookmarkEnd w:id="10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our knowledge, other than as disclosed in the table above, our other filings with the SEC and this Annual Report, there has been no significant change in the percentage ownership held by any major shareholder since January 1, 2020. The major shareholders listed above do not have voting rights with respect to their ordinary shares that are different from the voting rights of other holders of our ordinary shares.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2023, according to the records of Continental Stock Transfer &amp; Trust Co., approximately 2,915,792 (or 5.29%) of our outstanding ordinary shares are held by 22 record holders in the United States, not including Cede &amp; Co., the nominee of the Depository Trust Company, in whose name all shares held in “street name” are held in the United States.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policy is to enter into transactions with related parties on terms that, on the whole, are no more favorable, or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is a description of material transactions, or series of related material transactions, since January 1, 2022, to which we were or are a party and in which the other parties included or include our directors, executive officers, holders of more than 5% of our voting securities or any member of the immediate family of any of the foregoing persons.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SKT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17, 2019, Nanox Gibraltar entered into a Strategic Share Purchase Agreement with SK Telecom TMT Investment Corp. (“SKT”), Pureun Partners Asset Management Co., Ltd. and EBEST-PPAM Fund No. 9 (collectively, the “SKT Entities”), pursuant to which Nanox Gibraltar sold 2,262,443 ordinary shares to the SKT Entities for an aggregate purchase price of approximately $5.0 million. In connection with such transaction, Nanox Gibraltar also issued a warrant to SKT to acquire 2,262,443 ordinary shares at an exercise price of $20.87 per share (the “Warrant”).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transactions described above, Nanox Gibraltar also entered into an investor rights agreement with the SKT Entities (the “Investor Rights Agreement”). The agreement provides for the rights to nominate a member of our board of directors, as well as certain registration rights. The rights under the Investor Rights Agreement terminated upon the closing of our initial public offering. The SKT Entities became parties to the Registration Rights Agreement prior to the closing of our initial public offering. See below “—Registration Rights Agreements” for detailed description of the registration rights.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4, 2020, we entered into a Share Purchase Agreement with SKT, pursuant to which we sold 1,250,000 ordinary shares to SKT for an aggregate purchase price of $20.0 million. In connection with such agreement, we amended the Warrant to extend the exercise period to the earlier of June 17, 2025 or an exit event, which event does not include an initial public offering, and we amended the Investor Rights Agreement which granted SKT the right to appoint Mr. Jung Ho Park (or another person designated by SKT) as a director for a term of three years. In addition, we granted Mr. Park options to purchase 100,000 of our ordinary shares, vesting in equal quarterly installments over a period of four years, at an exercise price of $16.00 per ordinary share. In the event that SKT nominates any replacement director, any such director may receive options with the same terms, but the aggregate number of options granted to all such directors together shall not exceed 100,000. Mr. Park resigned from our Board of Directors in December 2021, at which time his unvested options to purchase 68,750 ordinary shares expired, and new options to purchase the same number of ordinary shares (i.e., 68,750 shares) were granted to Ms. So Young Shin, a successor director appointed by SKT in May 2022.</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on June 4, 2020, we entered into a collaboration agreement with SK Telecom Co., Ltd. (“SK Telecom”), pursuant to which we and SK Telecom continue to explore and engage in good faith to develop a definitive agreement for the deployment of 2,500 Nanox Systems in South Korea and Vietnam. With the support of SK Telecom we established a wholly-owned subsidiary in South Korea, which in turn established our fabrication facility in Korea for the manufacturing of MEMs X-ray chips for the Nanox.ARC. The collaboration agreement expired on December 31, 2021, but we continue to explore business opportunities and assess collaboration with SK Telecom.</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signed an agreement with Dr. Ilung Kim, who previously served as President of SK Telecom, dated December 16, 2019, for the provision of consulting services to us. Under the agreement, we granted Dr. Kim options to purchase 1,206,290 of our ordinary shares at an exercise price of $2.21 per ordinary share, of which options to purchase 150,000 ordinary shares were exercised and the remaining options are fully vested. The vested options are exercisable until the earlier of (a) the second anniversary of termination of the engagement between us and Dr. Kim or (b) the tenth anniversary from the date of grant. Effective as of July 1, 2021, the consulting agreement was replaced by an employment agreement with Dr. Kim in connection with appointment as the chief executive officer of our Korean subsidiary.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Agreements With Directors and Officers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each material contract, other than material contracts entered into in the ordinary course of business, to which we are or have been a party, since January 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Illumigyn Ltd.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Since December 1, 2019, Illumigyn has sub-leased approximately 165 square meters of private office space, including access to shared public spaces, from us in Neve Ilan, Israel. Mr. Poliakine currently serves as a member of senior management of Illumigyn through a service provider agreement and is a significant shareholder primarily through indirect holdings, and he served as a member of the board of directors of Illumigyn until August 2019. In addition, the deceased Mr. Richard Stone, who served as a director until his passing in May 2022, was a significant shareholder in, and served as a member of the board of directors of Illumigyn, Ms. Noga Kainan, a director, serves as a member of the board of directors of Illumigyn, and Anat Kaphan, our former Chief Innovation Officer who currently serves as a member of our advisory board, also serves as a consultant to Illumigyn. Illumigyn pays approximately $12,000 per month under the sub-lease. During the years ended December 31, 2022 and 2021, the Company received from Illumigyn approximately $171,000 and $125,000, respectively, under the sub-lease.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SixAI Ltd.</w:t>
      </w:r>
    </w:p>
    <w:p>
      <w:pPr>
        <w:spacing w:after="0" w:line="229" w:lineRule="exact"/>
        <w:rPr>
          <w:sz w:val="20"/>
          <w:szCs w:val="20"/>
          <w:color w:val="auto"/>
        </w:rPr>
      </w:pPr>
    </w:p>
    <w:p>
      <w:pPr>
        <w:jc w:val="both"/>
        <w:ind w:right="20" w:firstLine="729"/>
        <w:spacing w:after="0" w:line="258" w:lineRule="auto"/>
        <w:rPr>
          <w:sz w:val="20"/>
          <w:szCs w:val="20"/>
          <w:color w:val="auto"/>
        </w:rPr>
      </w:pPr>
      <w:r>
        <w:rPr>
          <w:rFonts w:ascii="Times New Roman" w:cs="Times New Roman" w:eastAsia="Times New Roman" w:hAnsi="Times New Roman"/>
          <w:sz w:val="18"/>
          <w:szCs w:val="18"/>
          <w:color w:val="auto"/>
        </w:rPr>
        <w:t>On April 16, 2020, we entered into a service agreement (the “Service Agreement”) with SixAI, pursuant to which SixAI agreed to provide Nanox with certain software development and mechanical engineering services. The Service Agreement was effective as of March 1, 2020 and was extended by mutual agreement of the parties several times until terminated on December 31, 2021. During the year ended December 31, 2021, the Company recorded an expense of $80,000 relating to the Service Agreement. Mr. Poliakine currently serves as a member of the board of directors of SixAI and is a controlling shareholder of SixAI.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Wellsense Technologies, Ltd.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February 2020, Wellsense Technologies, Ltd. (“Wellsense Technologies”) has sub-leased approximately 165 square meters of private office space, including access to shared public spaces, from us in Neve Ilan, Israel. Wellsense Technologies, Ltd. pays approximately $7,000 per month. Ran Poliakine is, and the deceased, Mr. Richard Stone, who served as a director until his passing in May 2022, was, a shareholder of the parent company of Wellsense Technologies. During the years ended December 31, 2022 and 2021, the Company received from Wellsense Technologies approximately $47,000 and $66,000, respectively, under the sub 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2021, our shareholders approved our engagement of Floyd Katske as a medical consultant, effective as of October 1, 2020, in addition and unrelated to his role as a director. Floyd Katske served as a director until December 2022 and since such date serves as a member of our advisory board. We paid Floyd Katske with respect to such medical consultant services $200 per hour, against an invoice, not to exceed 100 hours in any calendar month, according to hours approved by the Chairman. In addition, we paid Floyd Katske compensation consisting of RSUs granted in each calendar quarter, in the amount calculated by dividing (i) two times the cash compensation paid during such quarter as aforesaid by (ii) the fair market value of our ordinary shares on the last trading day of such quarter.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Directorship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previously entered into directorship agreements with certain of our directors in connection with their initial nomination to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grant options to purchase our ordinary shares and RSUs to our executive officers and directors. For a description of our equity incentive plan, see “Item 6. Directors, Senior Management and Employees—B. Compensation—Equity Incentive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Officers Insurance Policy and Indemnification and Exculpation Agreements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articles of association permit us to exculpate, indemnify and insure each of our directors and officers to the fullest extent permitted by the Companies Law. We have obtained directors’ and officers’ liability insurance which covers each of our executive officers and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agreements with each of our current directors and officers exculpating them from a breach of their duty of care to us to the fullest extent permitted by law and undertaking to indemnify them to the fullest extent permitted by law, including with respect to liabilities resulting from our initial public offering, to the extent that these liabilities are not covered by insurance, all subject to limited exceptions. Indemnification for any monetary liability incurred by or imposed on a director or officer in favor of a third party is limited to certain events that were determined as foreseeable by the board of directors based on our current or expected activities. The maximum aggregate amount of indemnification that we may pay to our directors and officers based on such indemnification agreements shall not exceed the greater of (i) in relation to indemnity in connection with an offering to the public of our securities, the aggregate amount of proceeds from the sale by us and/or any of our shareholders in connection with such public offering, (ii) 25% of our total shareholders’ equity pursuant to our most recent financial statements as of the time of the actual payment of indemnification, and (iii) $50 million (in each case as may be increased from time to time by shareholders’ approval). Such indemnification amounts are in addition to any insurance amounts.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However, in the opinion of the SEC, indemnification of office holders for liabilities arising under the Securities Act is against public policy and therefore unenforceable.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a registration rights agreement (the “Registration Rights Agreement”) that entitles certain holders of our ordinary shares and other securities convertible into or exchangeable for ordinary shares, including SK Square Americas, Inc. (formerly known as SK Telecom TMT Investment Corp.), to certain piggyback registration rights. See “Item 10. Additional Information—C. Material Contracts—Registration Rights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Financial Statements and Other Financial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we anticipate that, for the foreseeable future, we will retain any future earnings to support operations and to finance the growth and development of our business. Therefore, we do not expect to pay cash dividends for at least the next several years.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distribution of dividends may also be limited by the Companies Law, which permits the distribution of dividends only out of retained earnings or earnings derived over the two most recent fiscal years, whichever is higher, provided that there is no reasonable concern that payment of a dividend will prevent a company from satisfying its existing and foreseeable obligations as they become due. In the event that we do not have retained earnings or earnings generated over the two most recent years legally available for distribution, we must seek the approval of the court in order to distribute a dividend, and the court may approve our request if it is convinced that there is no reasonable concern that the payment of a dividend will prevent us from satisfying our existing and foreseeable obligations as they become due. Our amended and restated articles of association provide that dividends will be paid at the discretion of, and upon resolution by, our board of directors, subject to the provision of the Companies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on Form 20-F, we have not experienced any significant changes since the date of our audited consolidated financial statements included in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have been listed on the NASDAQ Global Market since August 20, 2020 under the symbol “NNOX.”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B. 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have been listed on the NASDAQ Global Market since August 20, 2020 under the symbol “NNOX.”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Dilution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Expenses of the Issue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copy of our amended and restated articles of association is attached as Exhibit 1.1 to this Annual Report. Our registration number with the Israeli Registrar of Companies is 515942076. Our registration number may be changed by the Israeli Registrar of Companies to indicate that we are a public company. The following are summaries of material provisions of our current amended and restated articles of association that became effective immediately prior to the completion of our initial public offering in August 2020, insofar as they relate to the material terms of our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Objects of Our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purpose as set forth in our amended and restated articles of association is to engage in any lawful activity.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Employees—C. Board Practices.”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Companies Law and our amended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2022, we had 55,094,237 ordinary shares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never declared or paid any cash dividends on our ordinary shares.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declare a dividend to be paid to the holders of our ordinary shares in proportion to their respective shareholdings. See “Item 8. Financial Information—A. Consolidated Statements and Other Financial Information—Dividend Policy” for more information with respect to the requirements under Israeli law for the declaration and payment of dividends to our shareholders.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our ordinary shares have identical voting and other rights in all respects.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our ordinary shares have one vote for each ordinary share held on all matters submitted to a vote before the shareholders at a general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Quorum. </w:t>
      </w:r>
      <w:r>
        <w:rPr>
          <w:rFonts w:ascii="Times New Roman" w:cs="Times New Roman" w:eastAsia="Times New Roman" w:hAnsi="Times New Roman"/>
          <w:sz w:val="18"/>
          <w:szCs w:val="18"/>
          <w:color w:val="auto"/>
        </w:rPr>
        <w:t>In any meeting of shareholders, we will follow the quorum requirements for general meetings as set forth in our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articles of association, instead of one-third of the issued share capital as required under the Nasdaq Marketplace Rules. Pursuant to our amended and restated articles of association, the quorum required for our general meetings of shareholders will consist of at least two shareholders present in person or by proxy (including by voting deed) and holding shares conferring in the aggregate at least 25% of the voting power of the Company. A meeting adjourned for lack of a quorum will generally be adjourned to the same day of the following week at the same time and place, or to such other day, time or place as indicated by our board of directors, if so specified in the notice of the meeting. At the reconvened meeting, subject to a limited exception, any number of shareholders present in person or by proxy shall constitute a lawful quorum.</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Vote requirements. </w:t>
      </w:r>
      <w:r>
        <w:rPr>
          <w:rFonts w:ascii="Times New Roman" w:cs="Times New Roman" w:eastAsia="Times New Roman" w:hAnsi="Times New Roman"/>
          <w:sz w:val="18"/>
          <w:szCs w:val="18"/>
          <w:color w:val="auto"/>
        </w:rPr>
        <w:t>An ordinary resolution to be passed at a meeting by the shareholders requires the affirmative vote of a simple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attaching to the ordinary shares cast at a meeting, while a special resolution requires the affirmative vote of no less than two-thirds of the votes attaching to the ordinary shares cast at a meeting. Under our amended and restated articles of association, a special resolution is required for the removal of a director from office and the appointment of a director in place of the director so removed, and to amend the provisions in our articles of association relating to the appointment and removal of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liquidation, after satisfaction of liabilities to creditors and other payments due as per applicable law,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Ordinary Shares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subject to applicable law, issue redeemable shares or other securities and redeem the same with such terms and conditions as the board of directors may deem fit.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Modifications of Rights of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and our amended and restated articles of association, the rights attached to any class of share,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 in addition to the ordinary majority vote of all classes of voting shares voting together as a single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Additional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upon a resolution of the shareholders at a general meeting, from time to time, increase our share capital by the creation of new shares. Any such increase shall be in such amount and shall be divided into shares of such nominal amounts or without nominal amounts, and such shares shall confer such rights and preferences, and shall be subject to such restrictions, as the resolution approving the creation of such shares shall provide. Except to the extent otherwise provided in the resolution creating such new shares, such new shares shall be subject to all the provisions applicable to the shares of the original capital. Without prejudice to any special rights previously conferred upon the holders of existing shares in the Company, the Company may, from time to time, provide for shares with such preferred or deferred rights or rights of redemption or other special rights and/or such restrictions, whether in regard to dividends, voting, repayment of share capital or otherwise, as may be stipulated in the resolution pursuant to which such shares are created.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Corporate Records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Companies Law, shareholders generally have the right to review minutes of our general meetings, our shareholders register and material shareholders register, our amended and restated articles of association, our annual audited financial statements and any document that we are required by law to file publicly with the Israeli Registrar of Companies or the Israel Securities Authority. In addition, any shareholder who specifies the purpose of their request may request to review any document related to an action or transaction requiring shareholder approval under the related party transaction provisions of the Companies Law. We may deny this request if we believe it has not been made in good faith or if such denial is necessary to protect our interests or protect a trade secret or patent.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controls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or have been, in a state of war with Israel.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under Israeli Law</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Full Tender Offer. </w:t>
      </w:r>
      <w:r>
        <w:rPr>
          <w:rFonts w:ascii="Times New Roman" w:cs="Times New Roman" w:eastAsia="Times New Roman" w:hAnsi="Times New Roman"/>
          <w:sz w:val="18"/>
          <w:szCs w:val="18"/>
          <w:color w:val="auto"/>
        </w:rPr>
        <w:t>A person wishing to acquire shares of an Israeli public company and who would as a result hold over 90% of the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voting rights or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voting rights or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full tender offer was not accepted in accordance with the above alternatives, the acquirer may not acquire shares of the company that will increase its holdings to more than 90% of the company’s voting rights or issued and outstanding share capital or of the applicable class from shareholders who accepted the tender offer.</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Special Tender Offer</w:t>
      </w:r>
      <w:r>
        <w:rPr>
          <w:rFonts w:ascii="Times New Roman" w:cs="Times New Roman" w:eastAsia="Times New Roman" w:hAnsi="Times New Roman"/>
          <w:sz w:val="18"/>
          <w:szCs w:val="18"/>
          <w:color w:val="auto"/>
        </w:rPr>
        <w:t>. The Companies Law provides that an acquisition of shares of an Israeli public company must be made by means of a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tender offer if as a result of the acquisition the purchaser would become a holder of 25% or more of the voting rights in the company (subject to certain exceptions).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 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by shareholders who accept the offer exceeds the number of shares whose holders objected to the offer (excluding the purchaser and its controlling shareholders, holders of 25% or more of the voting rights in the company or any person having a personal interest in the acceptance of the tender offer or any other person acting on their behalf, including relatives and entities under such person’s control). If a special tender offer is accepted, then (i) shareholders who did not respond to or that had objected to the offer may accept the offer within four days of the last date set for the acceptance of the offer and they will be considered to have accepted the offer from the first day it was made, and (ii)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1" w:name="page112"/>
    <w:bookmarkEnd w:id="11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Shares purchased in contradiction to the tender offer rules under the Companies Law, as described above, will have no rights and will become dormant shares.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The Companies Law permits merger transactions if approved by each party’s board of directors and, unless certain requirements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Companies Law are met, by a majority vote of each party’s shares, and, in the case of the target company, a majority vote of each class of its shares voted on the proposed merger at a shareholders meeting.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condition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 Under the Companies Law, each merging company must deliver the merger proposal to its secured creditors and inform its unsecured creditors of the merger proposal and its content.</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purposes of the shareholder vote, unless a court rules otherwise, the merger will not be deemed approved if a majority of the votes of the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to the parties to the merger and the consideration offered to the shareholders of the target company. 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 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measures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currently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represented at a general meeting. The convening of the meeting, the shareholders entitled to participate and the majority vote required to be obtained at such a meeting will be subject to the requirements set forth in the Companies Law and our amended articles of association as described above under “—Voting Rights.” In addition, we have a classified board structure, which will effectively limit the ability of any investor or potential investor or group of investors or potential investors to gain control of our board of directors, as disclosed under “Item 6. Directors, Senior Management and Employees—C. Board Practices.”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 and Shareholder Proposals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Israeli law, we are required to hold an annual general meeting of our shareholders once every calendar year that must be held no later than 15 months after the date of the previous annual general meeting. All general meetings other than the annual meeting of shareholders are referred to in our amended and restated articles of association as special general meetings. Our board of directors may call special general meetings whenever it sees fit, at such time and place, within or outside of Israel, as it may determine. In addition, the Companies Law provides that our board of directors is required to convene a special general meeting upon the written request of (i) any two or more of our directors or one-quarter or more of the members of our board of directors or (ii) one or more shareholders holding, in the aggregate, either (a) 5% or more of our outstanding issued shares and 1% or more of our outstanding voting power or (b) 5% or more of our outstanding voting power.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2" w:name="page113"/>
    <w:bookmarkEnd w:id="11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Israeli law, one or more shareholders holding at least 1% of the voting rights at the general meeting may request that the board of directors include a matter on the agenda of a general meeting to be convened in the future, provided that it is appropriate to discuss such a matter at the general meeting. Our amended and restated articles of association contain procedural guidelines and disclosure items with respect to the submission of shareholder proposals for shareholder meetings.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Companies Law, resolutions regarding the following matters must be passed at a general meeting of shareholders:</w:t>
      </w:r>
    </w:p>
    <w:p>
      <w:pPr>
        <w:spacing w:after="0" w:line="225" w:lineRule="exact"/>
        <w:rPr>
          <w:sz w:val="20"/>
          <w:szCs w:val="20"/>
          <w:color w:val="auto"/>
        </w:rPr>
      </w:pPr>
    </w:p>
    <w:p>
      <w:pPr>
        <w:ind w:left="980" w:hanging="324"/>
        <w:spacing w:after="0"/>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company’s articles of association;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fees or termination of the auditors, if the shareholders have not delegated their authority to set the fees for the auditors to the board of directors;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external directors (if applicable);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related-party transactions requiring general meeting approval pursuant to the provisions of the Companies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reductions of the company’s authorized share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(as such term is defined in the Companies Law);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board of directors’ powers by a general meeting, if our board of directors is unable to exercise its powers and the exercise of any of its powers is required for our proper management.</w:t>
      </w:r>
    </w:p>
    <w:p>
      <w:pPr>
        <w:spacing w:after="0" w:line="15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Transactions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 2021, the Company completed the acquisition of 100% of the shares of USARAD, pursuant to the terms of the Stock Purchase Agreement, dated October 25, 2021, among the Company, USARAD, Dr. Michael Yuz, other holders of capital stock of USARAD, and holders of USARAD options.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November 3, 2021, the Company completed the acquisition of the platform and other assets of MDWEB, pursuant to the terms of the Asset Purchase Agreement, dated October 21, 2021, between the Company and MDWEB.</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4, 2021, the Company, consummated the merger pursuant to the terms of the Agreement and Plan of Merger, dated August 9, 2021, as amended, among the Company, Zebra (now known as Nanox AI), and Perryllion Ltd., as representative of Zebra’s equity holders.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details regarding these agreements, see “Item 4. Information on the Company—A. History and Development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FoxSemicon Integrated Technology, Inc. Manufacturing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26, 2020, we entered into a Contract Manufacturing Agreement with FITI. Under the terms of the agreement, FITI agreed to manufacture, package, distribute and ship, and we agreed to purchase, certain products and procurement and assembly services, including a minimum of 1,000 Nanox Systems per year. We agreed to provide FITI with a rolling forecast of our estimated monthly purchases, which FITI will use to prepare its supply chain to cover the material and manufacturing needs. Subsequently, we agreed to send purchase orders to FITI for certain products and services. Prices for the products will be agreed by the parties at least 90 days prior to the first expected delivery date. FITI will be entitled to order materials in accordance with an approved supplier list and on the terms that the parties agree upon on a quarterly basis, and FITI must obtain our prior written consent if it procures materials from other suppliers. FITI may also purchase materials from us to support orders pursuant to our requests. The parties also agreed to enter into a quality agreement, which will set forth the manufacturing standards applicable to FITI. The agreement will be in effect for three years from the date of the agreement and is renewed for successive terms of one year unless or until either party notifies the other in writing of its intention not to renew with 90 days’ prior notice. The agreement has not yet been implemented. The agreement may be terminated by notice of the non-breaching party in case of a material breach of a party’s material obligations, or by either party in case of the bankruptcy or insolvency of the other party.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Agreements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2023, there were two outstanding warrants, which are currently exercisable: (i) a warrant issued upon the consummation of our initial public offering to A-Labs Advisory &amp; Finance Ltd., which provided to us strategic consulting services, to purchase 50,000 ordinary shares, with an exercise price of $18 per share; and (ii) the warrant issued to SK Square Americas, Inc. (formerly known as SK Telecom TMT Investment Corp.) to purchase 2,262,443 ordinary shares, with an exercise price of $20.87 per share, as described above under “Item 7. Major Shareholders and Related Party Transactions—B. Related Party Transactions—Relationship With SKT.”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the Registration Rights Agreement with shareholders who held 14,533,835 of our ordinary shares and other securities convertible into or exchangeable for ordinary shares; however, some of these shares have been sold on the market, and the registration rights are no longer applicable. As of the date of this annual report, the registration rights apply to 2,607,466 shares held by SK Square Americas, Inc. (formerly known as SK Telecom TMT Investment Corp.).</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Registration Rights Agreement, and subject to the limitations specified therein, if we register our ordinary shares under the Securities Act for sale to the public, either for our own account or for the account of other security holders or both, the holders of registrable securities are entitled to notice of the intended registration and to include any or all of their registrable securities in the registration. The right of holders of registrable securities to include shares in an underwritten offering is subject to the right of the underwriters to limit the number of shares included in such offering. Holders of registrable securities are generally required to pay all expenses of registration, including the fees and disbursements of its counsel and all underwriting discounts and commissions.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as of March 31, 2023, SK Square Americas, Inc., as a holder of a warrant to purchase an aggregate of 2,262,443 ordinary shares, is entitled to piggyback registration rights under the terms of such warrant substantially similar to the registration rights described in the preceding paragraph.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certain countries that have been, or are considered to be, in a state of war with Israel.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Israeli Tax Considerations and Government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Tax Structure in Israel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Israeli resident companies are generally subject to corporate tax, currently at the rate of 23% of a company’s taxable income. Capital gains derived by an Israeli resident company are subject to tax at the regular corporate tax rate.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Israeli tax legislation, a corporation will be considered as an “Israeli resident company” if it meets one of the following: (i) it was incorporated in Israel; or (ii) the control and management of its business are exercised in Israel.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Benefits and Grants for Research and Development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Israeli tax law allows, under certain conditions, a tax deduction for expenditures related to scientific research and development projects, including capital expenditures, for the year in which they are incurred. Expenditures are deemed related to scientific research and development projects, if:</w:t>
      </w:r>
    </w:p>
    <w:p>
      <w:pPr>
        <w:spacing w:after="0" w:line="162" w:lineRule="exact"/>
        <w:rPr>
          <w:sz w:val="20"/>
          <w:szCs w:val="20"/>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expenditures are approved by the relevant Israeli government ministry, determined by the field of research;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is for the promotion of the company and is carried out by or on behalf of the company seeking such tax deduction, or that the expenditure is made by a person that carries out the research and does not own an enterprise which is engaged in the field of research, or that such expenditure constitutes a participation in a research carried out by another person, in both cases, subject to the fulfillment of certain criteria set forth in the Israeli tax law.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amount of such deductible expenses is reduced by the sum of any funds received through government grants for the financing of such scientific research and development projects. No deduction under these research and development deduction rules is allowed if such deduction is related to an expense invested in an asset depreciable under the general depreciation rules of the Ordinance. Capital Expenditures for scientific research incurred by a company for the promotion or development of the company, which do not meet the above conditions, are deductible in equal amounts over three years.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4" w:name="page115"/>
    <w:bookmarkEnd w:id="11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may apply to the Israeli Innovation Authority (the “IIA”), for approval to allow a tax deduction for research and development expenses during the year incurred. There can be no assurance that such application will be accepted.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 for the Encouragement of Capital Investments, 5719-1959</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Law for the Encouragement of Capital Investments, 5719-1959 (the “Investment Law”), provides certain incentives for capital investments in production facilities (or other eligible assets) by “Industrial Enterprises” (as defined under the Investment Law). The benefits available under the Investment Law are subject to the fulfillment of conditions stipulated therein. If a company does not meet these conditions, it may be required to refund the amount of tax benefits, as adjusted by the Israeli consumer price index, and interest, or other monetary penalties.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Benefits Subsequent to the 2005 Amendment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amendment to the Investment Law, which became effective as of April 1, 2005, or the 2005 Amendment, changed certain provisions of the Investment Law. An eligible investment program under the 2005 Amendment qualifies for benefits as a “Benefited Enterprise.” Prior to the 2005 Amendment, investment programs under the Investment Law were called “Approved Enterprises.” The extent of the tax benefits available under the 2005 Amendment to qualifying income of a Benefited Enterprise depend on, among other things, the geographic location of the Benefited Enterprise in Israel. The location will also determine the period for which tax benefits are available. Such tax benefits include an exemption from corporate tax on undistributed income for a period of between two to ten years, depending on the geographic location of the Benefited Enterprise in Israel, and a reduced corporate tax rate of between 10% and the applicable corporate tax rate for the remainder of the benefits period, depending on the level of foreign investment in the company in each year during the benefits period.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entitled to tax benefits under the 2005 Amendment.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Benefits Under the 2011 Amendment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Investment Law was significantly amended as of January 1, 2011, or the 2011 Amendment. The 2011 Amendment introduced new benefits to replace those granted in accordance with the provisions of the Investment Law in effect prior to the 2011 Amendment.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2011 Amendment introduced new tax benefits for income generated by a “Preferred Company” through its “Preferred Enterprise,” in accordance with the definition of such terms in the Investment Law. Generally, a “Preferred Enterprise” is defined as an “Industrial Enterprise” (including, among others, an enterprise that provides approved research and development services to foreign residents), with more than 25% of its business income from export. The definition of a Preferred Company, includes, inter alia, a company incorporated in Israel that (1) is not wholly owned by a government entity, (2) owns a Preferred Enterprise and (3) is controlled and managed from Israel and is subject to further conditions set forth in the Investment Law.</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Preferred Company is entitled to a reduced corporate tax rate of 16% with respect to the income attributed to its Preferred Enterprise, unless the Preferred Enterprise is located in development area “A,” in which case the rate will be 7.5%. Our operations are currently not located in development area “A.”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Dividends distributed from income which is attributed to a “Preferred Enterprise” will be subject to withholding tax at the following rates:</w:t>
      </w:r>
    </w:p>
    <w:p>
      <w:pPr>
        <w:spacing w:after="0" w:line="27" w:lineRule="exact"/>
        <w:rPr>
          <w:sz w:val="20"/>
          <w:szCs w:val="20"/>
          <w:color w:val="auto"/>
        </w:rPr>
      </w:pPr>
    </w:p>
    <w:p>
      <w:pPr>
        <w:jc w:val="both"/>
        <w:ind w:firstLine="8"/>
        <w:spacing w:after="0" w:line="255" w:lineRule="auto"/>
        <w:tabs>
          <w:tab w:leader="none" w:pos="23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Israeli resident individuals—20% and (ii) non-Israeli residents—20%, subject to a reduced tax rate under the provisions of an applicable double tax treaty and subject to the receipt in advance of valid certificate from the Israeli Tax Authority, or the ITA. If such dividends are paid to an Israeli company, no tax is required to be withheld.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2011 Amendment do not apply to existing “Benefited Enterprises” or “Approved Enterprises,” which will continue to be entitled to the tax benefits under the Investment Law, as in effect prior to the 2011 Amendment, unless the company owning such enterprises had made an election to apply the provisions of the 2011 Amendment (such election cannot be later rescinded), which is to be filed with the ITA, not later than the date prescribed for the filing of the company’s annual Israeli tax return for the respective year.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currently not entitled to tax benefits under the 2011 Amendment.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i w:val="1"/>
          <w:iCs w:val="1"/>
          <w:color w:val="auto"/>
        </w:rPr>
        <w:t>Tax Benefits Under the 2017 Amendment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 amendments to the Investment Law became effective in January 2017, or the 2017 Amendment. The 2017 Amendment provides new tax benefits for two types of “Technological Enterprises,” as described below, and is in addition to the other existing tax benefit programs under the Investment Law.</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2017 Amendment provides that a technological Preferred Company satisfying certain conditions may qualify as a “Preferred Technological Enterprise” and thereby enjoy a reduced corporate tax rate of 12% on income that qualifies as “Preferred Technological Income,” as defined in the Investment Law. The tax rate is further reduced to 7.5% for a Preferred Technological Enterprise located in development area “A.” In addition, a Preferred Company will benefit from a reduced corporate tax rate of 12% on capital gain derived from the sale of certain “Benefited Intangible Assets” (as defined in the Investment Law) to a related foreign company if the Benefited Intangible Assets were acquired from a foreign company on or after January 1, 2017, for at least NIS 200 million, and the sale receives prior approval from the IIA.</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2017 Amendment further provides that a technological Preferred Company satisfying certain conditions may qualify as a “Special Preferred Technological Enterprise” and thereby enjoy a reduced corporate tax rate of 6% on “Preferred Technological Income” regardless of the company’s geographic location within Israel. In addition, a Special Preferred Technological Enterprise will enjoy a reduced corporate tax rate of 6% on capital gain derived from the sale of certain “Benefited Intangible Assets” to a related foreign company if the Benefited Intangible Assets were either developed by an Israeli company or acquired from a foreign company on or after January 1, 2017, and the sale received prior approval from the IIA. A Special Preferred Technological Enterprise that acquires Benefited Intangible Assets from a foreign company for more than NIS 500 million may be eligible for these benefits for a period of at least ten years, subject to certain approvals as specified in the Investment Law.</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Dividends distributed by a Preferred Company with a Technological Enterprise or a Special Preferred Technological Enterprise, paid out of Preferred Technological Income or income attributed to production are generally subject to withholding tax at the rate of 20% or such lower rate, as may be provided in an applicable tax treaty (subject to the receipt in advance of a valid certificate from the ITA allowing for a reduced tax rate). If such dividends are paid to an Israeli company, no tax is required to be withheld. If dividends paid out of Preferred Technological Income are distributed to a foreign company and other conditions are met, the withholding tax rate will be 4% (or a lower rate under a tax treaty, if applicable, subject to the receipt in advance of a valid certificate from the ITA allowing for a reduced tax rate).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currently not entitled to tax benefits under the 2017 Amendment.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Our Shareholders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Gains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Capital gain tax is imposed on the disposition of capital assets by an Israeli resident for tax purposes, and on the disposition of such assets by a non-Israeli resident for tax purposes if those assets are (i) located in Israel; (ii) are shares or a right to a share in an Israeli resident corporation, (iii) are shares or a right to a share in a non-Israeli resident company, the majority of whose assets are located in Israel, but only in respect of the portion of the consideration that is attributable to assets located in Israel, or (iv) located outside of Israel which mainly represent, directly or indirectly, rights to assets, property or inventory located in Israel, but only with respect to such portion of the assets that are located in Israel. The Ordinance distinguishes between “Real Capital Gain” and the “Inflationary Surplus.” Real Capital Gain is the excess of the total capital gain over Inflationary Surplus computed generally on the basis of the increase in the Israeli consumer price index or, in certain circumstances, a foreign currency exchange rate, between the date of purchase and the date of disposition. The inflationary surplus accumulated from and after December 31, 1993, is exempt from any capital gains tax in Israel while the real gain is taxed at the applicable rate discussed below.</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Real Capital Gain accrued by individuals on the sale of our ordinary shares will be taxed at the rate of 25%. However, if the individual shareholder is a “Controlling Shareholder” (i.e., a person who holds, directly or indirectly, alone or together with another, 10% or more of one of the Israeli resident company’s “means of control,” which includes, among other things, the right to receive profits of the company, voting rights, the rights to receive proceeds upon the company’s liquidation and the right to appoint a director) at the time of sale or at any time during the preceding 12-month period, such capital gain will be taxed at the rate of 30%. Furthermore, where an individual claimed real interest expenses and linkage differentials on securities, the capital gain on the sale of the securities will taxed at a rate of 30% (exclusive of excess tax described below).</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 Capital Gain derived by corporations will be generally subject to the corporate tax rate (23% in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6" w:name="page117"/>
    <w:bookmarkEnd w:id="11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Individual and corporate shareholder dealing in securities in Israel may be taxed at the tax rates applicable to business income—23% for corporations in 2022 and a marginal tax rate of up to 47% (in 2022) for individuals, not including excess tax (described below). Notwithstanding the foregoing, Real Capital Gain derived from the sale of our ordinary shares by a non-Israeli shareholder may be exempt under the Ordinance from Israeli taxation provided that the following cumulative conditions are met: (i) the shares were purchased upon or after the registration of the shares on the stock exchange, (ii) the seller does not have a permanent establishment in Israel to which the derived capital gain is attributable, (iii) if the seller is a corporation, no more than 25% of its means of control are held, directly and indirectly, alone or together with another by Israeli residents, and (iv) if the seller is a corporation, there is no Israeli resident that is entitled to 25% or more of the revenues or profits of the corporation, directly or indirectly. In addition, such exemption would not be available to a person whose capital gains from selling or otherwise disposing of the securities are deemed to be business income. In addition, this exemption shall not be relevant to the part of the capital gains allocable to the holding period before the shares were listed for trading on the stock exchange (however, such portion might also be exempt from tax in Israel if certain criteria are met).</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addition, the sale of shares may be exempt from Israeli capital gain tax under the provisions of an applicable tax treaty. For example, the Convention between the Government of the United States and the Government of the State of Israel with respect to Taxes of Income, as amended, or the U.S.-Israel Double Tax Treaty, exempts U.S. residents for the purposes of the treaty from Israeli capital gain tax in connection with such sale, provided</w:t>
      </w:r>
    </w:p>
    <w:p>
      <w:pPr>
        <w:spacing w:after="0" w:line="1" w:lineRule="exact"/>
        <w:rPr>
          <w:sz w:val="20"/>
          <w:szCs w:val="20"/>
          <w:color w:val="auto"/>
        </w:rPr>
      </w:pPr>
    </w:p>
    <w:p>
      <w:pPr>
        <w:jc w:val="both"/>
        <w:ind w:right="20" w:firstLine="8"/>
        <w:spacing w:after="0" w:line="255" w:lineRule="auto"/>
        <w:tabs>
          <w:tab w:leader="none" w:pos="23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resident owned, directly or indirectly, less than 10% of the Israeli resident company’s voting power at any time within the 12-month period preceding such sale; (ii) the seller, being an individual, is present in Israel for a period or periods of less than 183 days during the taxable year; and (iii) the capital gain from the sale was not derived through a permanent establishment of the U.S. resident in Israel.</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Shareholders may be liable for Israeli tax on the sale of their ordinary shares and the payment of the consideration may be subject to withholding of Israeli tax. Shareholders may be required to demonstrate that they are exempt from tax on their capital gains in order to avoid withholding at the time of sale. For example, in transactions involving a sale of all of the shares of an Israeli resident company, in the form of a merger or otherwise, the ITA may require from shareholders who are not liable for Israeli tax to sign declarations in forms specified by this authority or obtain a specific exemption from the ITA to confirm their status as a non-Israeli resident, and, in the absence of such declarations or exemptions, may require the purchaser of the shares to withhold taxes.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purchaser, the Israeli stockbrokers or financial institutions through which the shares are held is obligated, subject to the abovementioned exemptions, to withhold tax on the amount of consideration paid upon the sale of the shares (or on the Real Capital Gain on the sale, if known) at the rate of 25% in respect of an individual and 23% in respect of a corporation.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sale of securities traded on a stock exchange, a detailed return, including a computation of the tax due, generally need to be filed and an advanced payment must be paid on January 31 and July 31 of every calendar year in respect of sales of securities made within the previous six months. However, if all tax due was withheld according to applicable provisions of the Ordinance and regulations promulgated thereunder the aforementioned return need not be filed and no advance payment must be paid. Capital gain is also reportable on the annual income tax return.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never paid cash dividends. A distribution of dividends to an Israeli resident individual, will generally be subject to withholding tax at a rate of 25% or 30% if the dividend recipient is a “Controlling Shareholder” (as defined above) at the time of distribution or at any time during the preceding 12-month period and the shares are not held through a nominee company. If the income out of which the dividend is being paid is attributable to a Preferred Enterprise or Preferred Technology Enterprise under the Investment Law, the rate is generally not more than 20%. If the recipient of the dividend is an Israeli resident corporation, such dividend will be exempt from income tax provided the income from which such dividend is distributed was derived or accrued within Israel (although, if such dividends are subsequently distributed to non-Israeli individuals or a non-Israeli company, withholding tax at a rate of 25% (or 30% if the dividend recipient is a “Controlling Shareholder” (as defined above)) or such lower rate as may be provided if an applicable tax treaty will apply (subject to the receipt in advance of a valid tax certificate from the ITA allowing for a reduced tax rate)).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non-Israeli resident (either individual or corporation) is generally subject to Israeli withholding tax on the receipt of dividends at the rate of 25% (30% if the dividends recipient is a “Controlling Shareholder” (as defined above), at the time of distribution or at any time during the preceding 12-month period and the shares are not held through a nominee company); those rates are subject to a reduced tax rate under the provisions of an applicable double tax treaty (subject to the receipt in advance of a valid certificate from the ITA allowing for a reduced tax rate). Under the U.S.-Israel Double Tax Treaty, the following withholding rates will apply in respect of dividends distributed by an Israeli resident company to a U.S. resident: (i) if the U.S. resident is a corporation which holds during that portion of the taxable year which precedes the date of payment of the dividend and during the whole of its prior taxable year (if any), at least 10% of the outstanding voting shares of the Israeli resident paying corporation and not more than 25% of the gross income of the Israeli resident paying corporation for such prior taxable year (if any) consists of certain type of interest or dividends—the tax rate is 12.5%, (ii) if both the conditions mentioned in (i) above are met and the dividend is paid from an Israeli resident company’s income which was entitled to a reduced tax rate applicable to an Approved Enterprise, Benefited Enterprise, Preferred Enterprise or Preferred Technology Enterprise —the tax rate is 15% if a certificate for a reduced withholding tax rate would be provided in advance from the ITA and (iii) in all other cases, the tax rate is 25%. The aforementioned rates under the U.S.-Israel Double Tax Treaty will not apply if the dividend income was derived through a permanent establishment of the U.S. resident in Israel.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7" w:name="page118"/>
    <w:bookmarkEnd w:id="11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non-Israeli resident who receives dividends from which tax was withheld is generally exempt from the obligation to file tax returns in Israel with respect to such income, provided that (i) such income was not generated from business conducted in Israel by the taxpayer, (ii) the non-Israeli resident is not subject to Excess Tax in Israel, and; (iii) the taxpayer has no other taxable sources of income in Israel with respect to which a tax return is required to be filed.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Excess Tax</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Individuals who are subject to tax in Israel (whether such individual is an Israeli resident or non-Israeli resident) are also subject to an additional tax on annual income exceeding a certain threshold (NIS 698,280 for 2023), which amount is linked to the Israeli consumer price index and therefore is usually adjusted on an annual basis, at a rate of 3%, including, but not limited to, income derived from dividends, interest and capital gains.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Estate and Gift Tax</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Israeli law presently does not impose estate tax or in general gift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ordinary shares. This summary applies only to investors that are U.S. Holders (as defined below) that hold our ordinary shares as “capital assets” (generally, property held for investment) under the U.S. Internal Revenue Code of 1986, as amended (the “Code”). This discussion is based upon U.S. federal tax law as in effect on the date of this annual report on Form 20-F and on U.S. Treasury regulations in effect or, in some cases, proposed, as of the date of this annual report on Form 20-F, as well as judicial and administrative interpretations thereof available on or before such date. All of the foregoing authorities are subject to differing interpretations or change, which change could apply retroactively and could affect the tax considerations described below. No ruling has been sought from the Internal Revenue Service, or the IRS, with respect to any U.S. federal income tax considerations described below, and there can be no assurance that the IRS or a court will not take a contrary position. This discussion, moreover, does not address the U.S. federal estate, gift, alternative minimum tax considerations, the Medicare tax on certain net investment income, any withholding or information reporting requirements, or any state, local and non-U.S. tax considerations relating to the ownership or disposition of our ordinary shares. The following summary does not address all aspects of U.S. federal income taxation that may be important to particular investors in light of their individual circumstances or to persons in special tax situations such as:</w:t>
      </w:r>
    </w:p>
    <w:p>
      <w:pPr>
        <w:spacing w:after="0" w:line="190" w:lineRule="exact"/>
        <w:rPr>
          <w:sz w:val="20"/>
          <w:szCs w:val="20"/>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our ordinary shares pursuant to any employee share option or otherwise as compensation;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8" w:name="page119"/>
    <w:bookmarkEnd w:id="118"/>
    <w:p>
      <w:pPr>
        <w:ind w:left="980" w:hanging="324"/>
        <w:spacing w:after="0" w:line="282"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our ordinary shares as part of a straddle, hedge, conversion, constructive sale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ordinary shares in connection with a trade or business outside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stock (by vote or value);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classified as partnerships for U.S. federal income tax purposes, or persons holding our ordinary shares through such entities, all of whom may be subject to tax rules that differ significantly from those discussed below.</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Investors are urged to consult their tax advisors about the application of the U.S. federal income tax rules to their particular circumstances as well as the state, local, non-U.S. and other tax consequences to them of the ownership and disposition of our ordinary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ordinary shares that is, for U.S. federal income tax purposes:</w:t>
      </w:r>
    </w:p>
    <w:p>
      <w:pPr>
        <w:spacing w:after="0" w:line="225" w:lineRule="exact"/>
        <w:rPr>
          <w:sz w:val="20"/>
          <w:szCs w:val="20"/>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 of, the United States or any state thereof or the District of Columbia;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is a beneficial owner of our ordinary shares, the tax treatment of a partner in the partnership will generally depend upon the status of the partner and the activities of the partnership. Partnerships holding our ordinary shares and their partners are urged to consult their tax advisors regarding the ownership and disposition of our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cash distributions (including the amount of any Israeli tax withheld) paid on our ordinary shares out of our current or accumulated earnings and profits, as determined under U.S. federal income tax principles, will generally be includible in the gross income of a U.S. Holder as dividend income on the day actually or constructively received by the U.S. Holder. Because we do not intend to determine our earnings and profits on the basis of U.S. federal income tax principles, any distribution we pay will generally be treated as a “dividend” for U.S. federal income tax purposes. Dividends received on our ordinary shares will not be eligible for the dividends received deduction allowed to corporations in respect of dividends received from U.S. corporations.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Individuals and other non-corporate U.S. Holders may be subject to tax at the lower capital gains tax rate applicable to “qualified dividend income,” provided that certain conditions are satisfied, including that (1) the ordinary shares on which the dividends are paid are readily tradable on an established securities market in the United States, or we are eligible for the benefit of the U.S.-Israel Double Tax Treaty, (2) we are neither classified as a PFIC nor treated as such with respect to a U.S. Holder (as discussed below) for the taxable year in which the dividend is paid or the preceding taxable year, and (3) certain holding period and other requirements are met. Our ordinary shares are listed and traded on the Nasdaq Global Market. Thus, we believe that our ordinary shares will generally be considered to be readily tradable on an established securities market in the United States. There can be no assurance that the ordinary shares will continue to be considered readily tradable on an established securities market in later years. U.S. Holders are urged to consult their tax advisors regarding the availability of the lower rate for dividends paid with respect to our ordinary shares.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U.S. foreign tax credit purposes, dividends received on our ordinary shares will generally be treated as income from foreign sources and will generally constitute passive category income. A U.S. Holder may be subject to Israeli withholding taxes on dividends paid on our ordinary shares. See “— Israeli Tax Considerations and Government Programs—Taxation of Our Shareholders—Dividends.” Subject to certain conditions and limitations, a U.S. Holder eligible under the U.S.-Israel Double Tax Treaty may be eligible to claim a foreign tax credit in respect of any Israeli income taxes paid or withheld with respect to dividends on our ordinary shares to the extent such taxes are nonrefundable under the U.S.-Israel Double Tax Treaty. Alternatively,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paid or accrued in the relevant taxable year. The rules governing the foreign tax credit are complex and each U.S. Holder is urged to consult its tax advisor regarding the availability of the foreign tax credit under its particular circumstances.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U.S. Holder will generally recognize gain or loss upon the sale or other disposition of our ordinary shares in an amount equal to the difference between the amount realized upon the disposition and the U.S. Holder’s adjusted tax basis in such ordinary shares. The gain or loss will generally be capital gain or loss and individuals and other non-corporate U.S. Holders who have held the ordinary shares for more than one year will generally be eligible for reduced tax rates. The deductibility of a capital loss may be subject to limitations. Any such gain that the U.S. Holder recognizes may be subject to Israeli income tax and will generally be U.S. source gain, which may limit a U.S. Holder’s ability to claim a foreign tax credit for any such Israeli income tax imposed on such gain. U.S. Holders that are eligible for the benefits of the U.S.-Israel Double Tax Treaty may apply the U.S.-Israel Double Tax Treaty to treat such gain as exempt from Israeli tax, provided certain requirements are met. Pursuant to recently issued Treasury regulations, however, if a U.S. Holder is not eligible for the benefits of the U.S.-Israel Double Tax Treaty or does not elect to apply the U.S.-Israel Double Tax Treaty, then such holder may not be able to claim a foreign tax credit arising from any Israeli tax imposed on the sale or other disposition of our ordinary shares. The rules regarding foreign tax credits and the deductibility of foreign taxes are complex. U.S. Holders should consult their tax advisors regarding the availability of a foreign tax credit or deduction in light of their particular circumstances, including their eligibility for benefits under the U.S.-Israel Double Tax Treaty and the potential impact of the recently issued Treasury regulations.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generally classified as passive assets and goodwill and other unbooked intangibles associated with active business activities may generally be classified as non-passive assets. Passive income generally includes, among other things, dividends, interest, royalties and rents (other than certain royalties and rents derived in the active conduct of a trade or business and not derived from a related person), and gains from the disposition of passive assets. We will be treated as owning a proportionate share of the assets and earning a proportionate share of the income of any other corporation in which we own, directly or indirectly, at least 25% (by value) of the stock.</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Whether we are, or will be, classified as a PFIC is a factual determination made annually that will depend, in part, upon the composition of our income and assets.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Because the PFIC income test described above is based on a non-U.S. corporation’s gross income and not its net income, a non-U.S. corporation in the early stages of its business, such as our company, can be treated as a PFIC in those taxable years before it has sufficient operating revenue as a result of earning any amount of interest or other passive income. As a result, we believe that we will technically be classified as a PFIC for the taxable year ended December 31, 2022. Depending upon the composition of our income and assets and the market price of our ordinary shares during 2023 and subsequent taxable years and whether we start generating a substantial amount of active revenue, we could continue to be classified as a PFIC for 2023 and subsequent taxable years if we are classified as a PFIC for 2022. Accordingly, U.S. Holders of our ordinary shares should be willing to assume the risks of investing in a PFIC.</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because there are uncertainties in the application of the relevant rules, it is possible that the IRS may challenge our classification of certain income or assets as non-passive, or our valuation of our goodwill and other unbooked intangibles, each of which may increase the likelihood of us becoming classified as a PFIC for the current or subsequent taxable years.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ordinary shares,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ordinary shares), and (ii) any gain realized on the sale or other disposition of our ordinary shares. In addition, dividends paid in respect of our ordinary shares would not be eligible for the lower tax rate described under “—Dividends”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0" w:name="page121"/>
    <w:bookmarkEnd w:id="120"/>
    <w:p>
      <w:pPr>
        <w:ind w:left="660"/>
        <w:spacing w:after="0"/>
        <w:rPr>
          <w:sz w:val="20"/>
          <w:szCs w:val="20"/>
          <w:color w:val="auto"/>
        </w:rPr>
      </w:pPr>
      <w:r>
        <w:rPr>
          <w:rFonts w:ascii="Times New Roman" w:cs="Times New Roman" w:eastAsia="Times New Roman" w:hAnsi="Times New Roman"/>
          <w:sz w:val="18"/>
          <w:szCs w:val="18"/>
          <w:color w:val="auto"/>
        </w:rPr>
        <w:t>Under the PFIC rules:</w:t>
      </w:r>
    </w:p>
    <w:p>
      <w:pPr>
        <w:spacing w:after="0" w:line="225" w:lineRule="exact"/>
        <w:rPr>
          <w:sz w:val="20"/>
          <w:szCs w:val="20"/>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ordinary shares;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taxable year of the excess distribution, sale or other disposition and to any taxable years in the U.S. Holder’s holding period prior to the first taxable year in which we are classified as a PFIC (each, a “pre-PFIC year”), will be taxable as ordinary income;</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charge generally applicable to underpayments of tax will be imposed on the tax attributable to each prior taxable year, other than a pre-PFIC year.</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ordinary shares, we generally will continue to be treated as a PFIC with respect to such U.S. Holder for all succeeding years during which the holder holds our ordinary shares. However, if we cease to meet the threshold requirements for PFIC status, provided that the U.S. Holder has not made a mark-to-market election, as described below, such holder may avoid some of the adverse effects of the PFIC regime by making a “deemed sale” election with respect to our ordinary shares held by such U.S. Holder. If such election is made, the U.S. Holder will be deemed to have sold our ordinary shares it holds on the last day of the last taxable year in which we were classified as a PFIC at their fair market value and any gain from such deemed sale will be taxed under the PFIC rules described above. After the deemed sale election, so long as we do not become classified as a PFIC in a subsequent taxable year, the ordinary shares with respect to which such election was made will not be treated as shares in a PFIC and the U.S. Holder will not be subject to the PFIC rules described above with respect to any “excess distribution” received from us or any gain from an actual sale or other disposition of the ordinary shares. The rules dealing with deemed sale elections are very complex. U.S. Holders of our ordinary shares are strongly urged to consult their tax advisors as to the possibility and consequences of making a deemed sale election if we cease to be classified as a PFIC and such election becomes available to such holders.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ordinary shares and any subsidiary we own is also classified as a PFIC, such U.S. Holder would be treated as owning a proportionate amount (by value) of the shares of the lower-tier PFIC for purposes of the application of these rules. As a result, such U.S. Holder may incur liability for the deferred tax and interest charge described above if either (1) we receive any excess distribution from, or dispose of all or part of our interest in, the lower-tier PFIC or (2) the U.S. Holder disposes of all or part of our ordinary shares. It is possible that any subsidiary we own would be a PFIC for the current taxable year or future taxable years. U.S. Holders are urged to consult their tax advisors regarding the application of the PFIC rules to any subsidiary we own.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(as defined below) in a PFIC may make a mark-to-market election with respect to such stock. If a U.S. Holder makes this election with respect to our ordinary shares, the holder will generally (i) include as ordinary income for each taxable year that we are classified as a PFIC the excess, if any, of the fair market value of the ordinary shares held at the end of the taxable year over the adjusted tax basis of such ordinary shares and (ii) deduct as an ordinary loss in each such taxable year the excess, if any, of the adjusted tax basis of the ordinary shares over the fair market value of such ordinary shares held at the end of the taxable year, but such deduction will only be allowed to the extent of the amount previously included in income as a result of the mark-to-market election. The U.S. Holder’s adjusted tax basis in the ordinary shares would be adjusted to reflect any income or loss resulting from the mark-to-market election. If a U.S. Holder makes a mark-to-market election in respect of our ordinary shares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ordinary shares in a year when we are classified as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stock that is regularly traded on a qualified exchange or other market, as defined in applicable U.S. Treasury regulations. Our ordinary shares are listed on the Nasdaq Global Market and should be treated as regularly traded for purposes of the mark-to-market rules. While we anticipate that our ordinary shares will continue to qualify as being regularly traded, no assurances may be given in this regard. If any subsidiary we own is, or becomes, classified as a PFIC, the mark-to-market election will likely not be available with respect to the shares of such subsidiary that are treated as owned by a U.S. Holder. Consequently, a U.S. Holder could be subject to the PFIC rules with respect to income of a lower-tier PFIC the value of which had already been taken into account indirectly via mark-to-market adjustments. U.S. Holders are urged to consult their tax advisors as to the availability and desirability of a mark-to-market election, as well as the impact of such election on interests in any lower-tier PFIC.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1" w:name="page122"/>
    <w:bookmarkEnd w:id="12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Alternatively, a U.S. shareholder of a PFIC may avoid the PFIC tax consequences described above in respect of its shares of PFIC stock by making a timely “qualified electing fund,” or QEF, election. To comply with the requirements of a QEF election, such shareholder must receive certain information from the PFIC. Because we do not intend to provide information necessary for U.S. Holders to make QEF elections, such election will not be available to U.S. Holders of our ordinary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U.S. Holder owns our ordinary shares during any taxable year that we are classified as a PFIC, the holder must generally file an annual IRS Form 8621 regarding distributions received on, and any gain realized on the disposition of, our ordinary shares. U.S. Holders are urged to consult their tax advisor regarding our PFIC status and the U.S. federal income tax consequences of owning and disposing of our ordinary shares if we are, or become, classified as a PFIC, including the possibility of making a mark-to-market or deemed sale election.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 summary of U.S. federal income tax consequences set out above is for general informational purposes only. Investors are urged to consult their tax advisors about the application of the U.S. federal income tax rules to their particular circumstances as well as the state, local, non-U.S. and other tax consequences to them of the ownership and disposition of our ordinary shares.</w:t>
      </w:r>
    </w:p>
    <w:p>
      <w:pPr>
        <w:spacing w:after="0" w:line="171"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7"/>
          <w:szCs w:val="17"/>
          <w:b w:val="1"/>
          <w:bCs w:val="1"/>
          <w:color w:val="auto"/>
        </w:rPr>
        <w:t>F. Dividends and Paying Agents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allowed by the SEC, in Item 19 of this annual report on Form 20-F, we incorporate by reference certain information and documents we previously filed with the SEC. This means that we can disclose important information to you by referring you to another document filed separately with the SEC. The information incorporated by reference is considered to be part of this annual report on Form 20-F.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Under the Exchange Act, we are required to file reports and other information with the SEC. The SEC maintains a website at www.sec.gov that contains reports and other information regarding registrants that file electronically with the SEC. Our annual report on Form 20-F and other information submitted by us to the SEC may be accessed through this website.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U.S. companies whose securities are registered under the Exchange Act. However, we are required to file with the SEC, within four months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 for the first three quarters of each fiscal year.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 corporate website at http://www.nanox.vision. In accordance with NASDAQ Stock Market Rule 5250(d), we will post this annual report on Form 20-F on our website. Information contained on our website is not incorporated by reference into this annual report on Form 20-F. In addition, we will provide hardcopies of our annual report on Form 20-F free of charge to shareholders upon request.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Annual Report to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Item 11. Qualitative and Quantitative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we had cash equivalents consisting primarily of U.S. dollar bank deposits. Our primary exposure to market risk is interest income sensitivity, which is affected by changes in the general level of U.S. interest rates. Consequently, changes in market interest rates would not have a material impact on our financial position or results of operations.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we had an outstanding long-term loan of $3.8 million that was provided to Nanox Korea and approximates its carrying value since it bears interest at a rate close to the prevailing market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Inflation-related Risks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believe that the rate of inflation in Israel has had a material impact on our business to date, however, our costs in Israel will increase if the inflation rate in Israel exceeds the devaluation of the NIS against the U.S. dollar or if the timing of such devaluation lags behind inflation in Israel. Similarly, our costs in Korea will increase if the inflation rate in Korea exceeds the devaluation of the KRW against the U.S. dollar or if the timing of such devaluation lags behind inflation in Korea.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U.S. dollar is our functional and reporting currency. However, a portion of our operating expenses, including personnel and facilities related expenses, are incurred in NIS and KRW. As a result, our statements of operations and cash flows could be adversely affected in the future due to changes in foreign exchange rates. If the NIS and KRW appreciate relative to the U.S. dollar, the dollar cost of our operations in Israel or Korea would increase, respectively, and our dollar-denominated results of operations would be adversely affected. However, as we have cash and cash equivalents denominated in U.S. dollars, we believe that changes in foreign currency exchange rates would not have a material impact on our financial position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Warrants and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D. American Depositary Shares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25, 2020, we completed an initial public offering in the United States on Nasdaq of our ordinary shares, par value NIS 0.01 per share, pursuant to a Registration Statement on Form F-1, as amended (File No. 333-240209), which became effective on August 20, 2020. Cantor Fitzgerald &amp; Co., Oppenheimer &amp; Co. Inc., Berenberg and CIBC Capital Markets acted as joint book-runners. National Securities Corporation acted as co-manager for the offering.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issued and sold 10,555,556 ordinary shares at a public offering price of $18 per share, including 1,376,812 additional ordinary shares purchased by the underwriters at the public offering price, less the underwriting discount, pursuant to the exercise in full of their option to purchase additional ordinary shares. Following the sale of our ordinary shares in connection with the initial public offering, the offering terminated.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gross proceeds of the shares sold (including the over-allotment option) was approximately $190.0 million. The total expenses of the offering, including underwriting discounts and commissions, were approximately $20.8 million. The net proceeds we received from the offering (including the over-allotment option) were approximately $169.2 million. No payments for such expenses were made directly or indirectly to (i) any of our directors, officers or their associates, (ii) any persons owning 10% or more of any class of our equity securities or (iii) any of our affiliates.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expected use of the net proceeds from our initial public offering as described in our final prospectus filed with the SEC on August 24, 2020 pursuant to Rule 424(b).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Disclosure Controls and Procedures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of the Company, with the participation of its Chief Executive Officer and Chief Financial Officer, evaluated the effectiveness of the Company’s disclosure controls and procedures as of December 31, 2022.</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disclosure controls and procedures are designed to ensure that information required to be disclosed by the issuer in the reports that it files or submits under the Exchange Act of 1934, as amended, is recorded, processed, summarized and reported, within the time periods specified in the Commission’s rules and forms, and that such information is accumulated and communicated to management of the Company, including its Chief Executive Officer and Chief Financial Officer, as appropriate to allow timely decisions regarding required disclosure.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Annual Report on Form 20-F, the Company’s Chief Executive Officer and Chief Financial Officer have concluded that the Company’s disclosure controls and procedures were not effective due to a material weakness in the Company’s internal control over financial reporting described below.</w:t>
      </w:r>
    </w:p>
    <w:p>
      <w:pPr>
        <w:spacing w:after="0" w:line="3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Management’s Annual Report on Internal Control Over Financial Reporting</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described in Rules 13a-15(f) and 15d-15(f) under the Securities Exchange Act of 1934, as amended, or the Exchange Act. Internal control over financial reporting is defined as a process designed by, or under the supervision of, our Chief Executive Officer and Chief Financial Officer,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the assets of the issuer, (2) provide reasonable assurance that transactions are recorded as necessary to permit preparation of financial statements in accordance with generally accepted accounting principles, and that receipts and expenditures of the issuer are being made only in accordance with authorizations of management and directors of the issuer and (3) provide reasonable assurance regarding prevention or timely detection of unauthorized acquisition, use or disposition of the issuer’s assets that could have a material effect on the financial statements.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our conditions, or that the degree of compliance with our policies or procedures may deteriorate.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4" w:name="page125"/>
    <w:bookmarkEnd w:id="12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management, under the supervision and participation of our Chief Executive Officer and our Chief Financial Officer, has conducted an assessment of the effectiveness of our internal control over financial reporting as of December 31, 2022 using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(COSO).</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disclosed previously, as of December 31, 2021, our management had concluded that we did not maintain effective internal control over financial reporting due to four material weaknesses as follows:</w:t>
      </w:r>
    </w:p>
    <w:p>
      <w:pPr>
        <w:spacing w:after="0" w:line="162" w:lineRule="exact"/>
        <w:rPr>
          <w:sz w:val="20"/>
          <w:szCs w:val="20"/>
          <w:color w:val="auto"/>
        </w:rPr>
      </w:pPr>
    </w:p>
    <w:p>
      <w:pPr>
        <w:ind w:left="980" w:hanging="324"/>
        <w:spacing w:after="0" w:line="282"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sufficient number of financial reporting personnel with an appropriate level of knowledge, experience and training commensurate with our financial reporting requirements.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effective internal controls over certain information technology (“IT”) general controls for applications used in the preparation of the Company’s consolidated financial statements.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segregation of duties.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internal controls to ensure the processing and reporting of valid transactions is complete, accurate and timely.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2022, our management, with the oversight of the Audit Committee of the Board of Directors, reevaluated the Company’s Risks and Controls by performing full testing procedures, mapped the relevant processes, identified risks in the Company’s critical processes, implemented a new Enterprise Resource Planning (“ERP”) system and recruited additional financial reporting personnel and strengthened their professional knowledge and skills.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resulted with the management’s conclusion, as of December 31, 2022, that the Company has remediated the above material weaknesses except for the maintenance of appropriate level of knowledge, experience and training of our personnel commensurate with our financial reporting requirements. Therefore, our management has concluded that we did not maintain effective internal control over financial reporting as of December 31, 2022. This control deficiency did not result in material misstatements of the consolidated financial statements; however, this control deficiency described above could result in a misstatement that would result in a material misstatement of the annual or interim consolidated financial statements that would not be prevented or detected. Accordingly, our management has determined that this control deficiency constitutes a material weakness.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made substantial progress in developing and implementing our remediation plan, as we are adding to and improving our internal processes. The remaining task of our remediation plan is to increase the appropriate level of knowledge, experience and training commensurate with the Company’s financial reporting requirements in order to reduce the risk of material misstatement.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Planned Remediation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address the material weakness in internal control over financial reporting on December 31, 2022, management has commenced remediation efforts, which include: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Lack of sufficient number of financial reporting personnel with an appropriate level of knowledge, experience and training commensurate with our financial reporting requirements</w:t>
      </w:r>
      <w:r>
        <w:rPr>
          <w:rFonts w:ascii="Times New Roman" w:cs="Times New Roman" w:eastAsia="Times New Roman" w:hAnsi="Times New Roman"/>
          <w:sz w:val="18"/>
          <w:szCs w:val="18"/>
          <w:color w:val="auto"/>
        </w:rPr>
        <w:t>: Management has already made progress to increase the appropriate level of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and training commensurate with the Company’s financial reporting requirements, and plans to continue to do so, by mapping and assessing the required competencies and capabilities of the accounting team to support public company reporting requirements and enhancing and supplementing the finance team with resources and personnel with knowledge and experience in internal control over financing reporting commensurate with our financial reporting requirements, including with responsibility for design and implementation of internal controls. We also provide Company-sponsored training programs related to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Remediation of Previously Disclosed Material Weaknesses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captures the activities made by management related to the material weaknesses that were previously identified and which have been remediated at December 31, 2022.</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Did not design and maintain effective internal controls over certain information technology (“IT”) general controls for applications used in the preparation of the Company’s consolidated financial statements</w:t>
      </w:r>
      <w:r>
        <w:rPr>
          <w:rFonts w:ascii="Times New Roman" w:cs="Times New Roman" w:eastAsia="Times New Roman" w:hAnsi="Times New Roman"/>
          <w:sz w:val="18"/>
          <w:szCs w:val="18"/>
          <w:color w:val="auto"/>
        </w:rPr>
        <w:t>: We successfully implemented a new ERP system to support efficient automated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manual controls that are dependent on system reporting and to structure effective user access rights and privileges within our IT systems. We also modified current procedures and documentation and added new procedures and documentation due to the implementation of the new ERP system. Based on the results of our testing, management has concluded that the IT general controls for applications used in the preparation of the Company’s consolidated financial statements are adequately designed and have operated effectively for a sufficient period of time as of December 31, 2022. Accordingly, the material weakness related to our IT general controls is remediated.</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Inappropriate segregation of duties</w:t>
      </w:r>
      <w:r>
        <w:rPr>
          <w:rFonts w:ascii="Times New Roman" w:cs="Times New Roman" w:eastAsia="Times New Roman" w:hAnsi="Times New Roman"/>
          <w:sz w:val="18"/>
          <w:szCs w:val="18"/>
          <w:color w:val="auto"/>
        </w:rPr>
        <w:t>: We recruited additional personnel with a requisite level of qualification and experience,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and finance employees with the specific technical accounting and financial reporting experience necessary for a public company, including a controller and additional bookkeeper. Based on the results of our testing, management has concluded that this control is adequately designed and has operated effectively for a sufficient period of time as of December 31, 2022. Accordingly, the material weakness related to inappropriate segregation of duties is remediated.</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Not maintaining effective internal controls to ensure processing and reporting of valid transactions is complete, accurate and timely</w:t>
      </w:r>
      <w:r>
        <w:rPr>
          <w:rFonts w:ascii="Times New Roman" w:cs="Times New Roman" w:eastAsia="Times New Roman" w:hAnsi="Times New Roman"/>
          <w:sz w:val="18"/>
          <w:szCs w:val="18"/>
          <w:color w:val="auto"/>
        </w:rPr>
        <w: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and implemented additional formal policies, procedures and documentation controls to ensure transactions are properly initiated, recorded, processed, reported, appropriately authorized and approved, including enhancing our internal review procedures. Specifically, we have implemented a sufficient level of formal policies, procedures and documentation that define how transactions across the business cycles are initiated, recorded, processed, reported, documented, appropriately authorized and approved. The new controls and the revised existing controls include controls to address complex accounting issues, period-end financial reporting and segregation of duties. Based on the results of our testing, management has concluded that this control is adequately designed and has operated effectively for a sufficient period of time as of December 31, 2022. Accordingly, the material weakness related to the effectiveness of the internal controls is remediated.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Attestation Report of the Registered Public Accounting Firm</w:t>
      </w:r>
    </w:p>
    <w:p>
      <w:pPr>
        <w:spacing w:after="0" w:line="225"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internal control over financial reporting as of December 31, 2022 has been audited by Kesselman &amp; Kesselman, an independent registered public accounting firm in Israel and a member of PricewaterhouseCoopers International Limited, as stated in their report which is included under “Item 18—Financial Statements.”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Changes in Internal Control Over Financial Reporting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the remediation efforts described above taken to address the material weaknesses during the period covered by this Annual Report, there were no changes in our internal control over financial reporting (as defined in Rules 13a-15(f) and 15d-15(f) under the Securities Exchange Act)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9"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Financial Expert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Noga Kainan and Dan Suesskind, independent directors and members of our audit committee, are audit committee financial experts.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Ethics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adopted a code of ethics and conduct, which is applicable to all of our directors, officers and employees. We have made our code of ethics publicly available on our website.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p>
      <w:pPr>
        <w:ind w:left="340"/>
        <w:spacing w:after="0"/>
        <w:rPr>
          <w:sz w:val="20"/>
          <w:szCs w:val="20"/>
          <w:color w:val="auto"/>
        </w:rPr>
      </w:pPr>
      <w:r>
        <w:rPr>
          <w:rFonts w:ascii="Times New Roman" w:cs="Times New Roman" w:eastAsia="Times New Roman" w:hAnsi="Times New Roman"/>
          <w:sz w:val="18"/>
          <w:szCs w:val="18"/>
          <w:color w:val="auto"/>
        </w:rPr>
        <w:t>(c)  Principal Accountant Fees and Services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Kesselman &amp; Kesselman, Certified Public Accountants (Isr.), a member firm of PricewaterhouseCoopers International Limited, our independent registered public accounting firm, for the periods indicated.</w:t>
      </w:r>
    </w:p>
    <w:p>
      <w:pPr>
        <w:spacing w:after="0" w:line="172"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577,000</w:t>
            </w: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19,000</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37,000</w:t>
            </w: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(4)</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66"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represents the aggregate fees billed or accrued for the interim reviews and audit of our annual financial statements. This category also includes services that generally the independent accountant provides, such as consents and assistance with and review of documents filed with the SEC as well as fees related to audits in connection with our secondary public offering in February 2021.</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represents the aggregate fees billed or accrued for assurance and related services that are reasonably related to the performance of the audit or review of our financial statements and not reported under “Audit Fees.”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represents the aggregate fees billed or accrued for professional tax services rendered by our independent registered public accounting firm for tax compliance and tax advice on actual or contemplated transactions.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represents the aggregate fees billed or accrued for services rendered by our independent registered public accounting firm other than services reported under “Audit Fees,” “Audit-related Fees” and “Tax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Audit Committee has adopted a policy pursuant to which we will not engage our auditors to perform any non-audit services unless the audit committee pre-approves the service.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permitted to follow certain Israeli corporate governance practices instead of the Nasdaq corporate governance rules, provided that we disclose which requirements we are not following and the equivalent Israeli requirement. Pursuant to the “foreign private issuer exemption”:</w:t>
      </w:r>
    </w:p>
    <w:p>
      <w:pPr>
        <w:spacing w:after="0" w:line="176" w:lineRule="exact"/>
        <w:rPr>
          <w:sz w:val="20"/>
          <w:szCs w:val="20"/>
          <w:color w:val="auto"/>
        </w:rPr>
      </w:pPr>
    </w:p>
    <w:p>
      <w:pPr>
        <w:jc w:val="both"/>
        <w:ind w:left="980" w:hanging="324"/>
        <w:spacing w:after="0" w:line="258"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comply with Israeli law with respect to quorum requirements. In accordance with the Companies Law, our amended and restated articles of association provide that a quorum of two or more shareholders holding at least 25% of the voting rights in person or by proxy is required for commencement of business at a general shareholder meeting. The quorum set forth in our amended and restated articles of association with respect to an adjourned meeting shall, subject to a limited exception, consist of one or more shareholders present in person or by proxy (including by voting deed), regardless of the number or percentage of our outstanding shares held by them;</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 Israeli corporate governance practices instead of the Nasdaq requirements with regard to the nomination committee and director nomination procedures. The nominations for directors, which are presented to our shareholders by our board of directors, are generally made by the board of directors itself, in accordance with the provisions of our amended and restated articles of association and the Companies Law. With the exception of directors elected by our board of directors due to a vacancy, in accordance with the staggered nomination as described under “Item 6. Directors, Senior Management and Employees—C. Board Practices—Board of Directors,” we intend to elect our directors to hold office until the annual general meeting of our shareholders that occurs in the third year following his or her election and until his or her successor shall be elected and qualified;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adopt and approve material changes to equity incentive plans in accordance with the Companies Law, which does not impose a requirement of shareholder approval for such actions. In addition, we follow Israeli corporate governance practice, which requires shareholder approval prior to an issuance of securities in connection with equity-based compensation of officers, directors, employees or consultants only under certain circumstances, in lieu of Nasdaq Marketplace Rule 5635(c);</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opposed to making periodic reports to shareholders and proxy solicitation materials available to shareholders in the manner specified by the Nasdaq corporate governance rules, the Companies Law does not require us to distribute periodic reports directly to shareholders, and the generally accepted business practice in Israel is not to distribute such reports to shareholders but to make such reports available through a public website. We will only mail such reports to shareholders upon request. As a foreign private issuer, we are generally exempt from the SEC’s proxy solicitation rules; and</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 Israeli corporate governance practices instead of Nasdaq requirements to obtain shareholder approval for all corporate actions requiring such approval under the requirements of the Companies Law such as (i) transactions with directors concerning the terms of their service or indemnification, exemption and insurance for their service (or for any other position that they may hold at our company), (ii) extraordinary transactions with controlling shareholders, (iii) terms of employment or other engagement of the controlling shareholder of the company or such controlling shareholder’s relative, (iv) private placements that will result in a change of control, (v) certain transactions, other than a public offering, involving issuances of a 20% or greater interest in us and (vi) certain acquisitions of the stock or assets of another company.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Otherwise, we intend to comply with the rules generally applicable to U.S. domestic companies listed on the Nasdaq. We may in the future decide to use the foreign private issuer exemption with respect to some or all of the other Nasdaq corporate governance rules. We also intend to comply with Israeli corporate governance requirements under the Companies Law applicable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of Nano-X Imaging Ltd. are included at the end of this annual report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00" w:type="dxa"/>
            <w:vAlign w:val="bottom"/>
            <w:tcBorders>
              <w:top w:val="single" w:sz="8" w:color="auto"/>
              <w:bottom w:val="single" w:sz="8" w:color="0000EE"/>
            </w:tcBorders>
            <w:gridSpan w:val="11"/>
            <w:shd w:val="clear" w:color="auto" w:fill="CCEEFF"/>
          </w:tcPr>
          <w:p>
            <w:pPr>
              <w:ind w:left="20"/>
              <w:spacing w:after="0" w:line="169"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Form of Amended and Restated Articles of Association of the Registrant (incorporated by reference to Exhibit 3.2 to the Registrant’s</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Registration Statement on Form F-1/A (File No. 333-240209) filed on August 14, 2020 with the SEC)</w:t>
              </w:r>
            </w:hyperlink>
          </w:p>
        </w:tc>
      </w:tr>
      <w:tr>
        <w:trPr>
          <w:trHeight w:val="175"/>
        </w:trPr>
        <w:tc>
          <w:tcPr>
            <w:tcW w:w="12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7360" w:type="dxa"/>
            <w:vAlign w:val="bottom"/>
            <w:tcBorders>
              <w:top w:val="single" w:sz="8" w:color="0000EE"/>
            </w:tcBorders>
            <w:gridSpan w:val="6"/>
          </w:tcPr>
          <w:p>
            <w:pPr>
              <w:ind w:left="20"/>
              <w:spacing w:after="0" w:line="176" w:lineRule="exact"/>
              <w:rPr>
                <w:sz w:val="20"/>
                <w:szCs w:val="20"/>
                <w:color w:val="auto"/>
              </w:rPr>
            </w:pPr>
            <w:r>
              <w:rPr>
                <w:rFonts w:ascii="Times New Roman" w:cs="Times New Roman" w:eastAsia="Times New Roman" w:hAnsi="Times New Roman"/>
                <w:sz w:val="18"/>
                <w:szCs w:val="18"/>
                <w:color w:val="0000EE"/>
              </w:rPr>
              <w:t>Description of Securities Registered under Section 12 of the Exchange Act</w:t>
            </w:r>
          </w:p>
        </w:tc>
        <w:tc>
          <w:tcPr>
            <w:tcW w:w="2640" w:type="dxa"/>
            <w:vAlign w:val="bottom"/>
            <w:tcBorders>
              <w:top w:val="single" w:sz="8" w:color="CCEEFF"/>
            </w:tcBorders>
            <w:gridSpan w:val="5"/>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1"/>
            <w:shd w:val="clear" w:color="auto" w:fill="CCEEFF"/>
          </w:tcPr>
          <w:p>
            <w:pPr>
              <w:ind w:left="20"/>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Asset Purchase Agreement, dated November 3, 2021, among MDWEB, LLC, Nano-X Imaging. and Nano-X Imaging Ltd. (incorporated</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1"/>
            <w:shd w:val="clear" w:color="auto" w:fill="CCEEFF"/>
          </w:tcPr>
          <w:p>
            <w:pPr>
              <w:ind w:left="20"/>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by reference to Exhibit 4.1 to the Registrant’s Registration Statement on Form 20-F (File No. 001-39461) filed on May 2, 2022 with the</w:t>
              </w:r>
            </w:hyperlink>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0000EE"/>
            </w:tcBorders>
            <w:shd w:val="clear" w:color="auto" w:fill="CCEEFF"/>
          </w:tcPr>
          <w:p>
            <w:pPr>
              <w:ind w:left="20"/>
              <w:spacing w:after="0" w:line="196" w:lineRule="exact"/>
              <w:rPr>
                <w:rFonts w:ascii="Times New Roman" w:cs="Times New Roman" w:eastAsia="Times New Roman" w:hAnsi="Times New Roman"/>
                <w:sz w:val="18"/>
                <w:szCs w:val="18"/>
                <w:color w:val="0000EE"/>
                <w:w w:val="92"/>
              </w:rPr>
            </w:pPr>
            <w:hyperlink r:id="rId142">
              <w:r>
                <w:rPr>
                  <w:rFonts w:ascii="Times New Roman" w:cs="Times New Roman" w:eastAsia="Times New Roman" w:hAnsi="Times New Roman"/>
                  <w:sz w:val="18"/>
                  <w:szCs w:val="18"/>
                  <w:color w:val="0000EE"/>
                  <w:w w:val="92"/>
                </w:rPr>
                <w:t>SEC)</w:t>
              </w:r>
            </w:hyperlink>
          </w:p>
        </w:tc>
        <w:tc>
          <w:tcPr>
            <w:tcW w:w="9600" w:type="dxa"/>
            <w:vAlign w:val="bottom"/>
            <w:tcBorders>
              <w:bottom w:val="single" w:sz="8" w:color="CCEEFF"/>
            </w:tcBorders>
            <w:gridSpan w:val="10"/>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1"/>
          </w:tcPr>
          <w:p>
            <w:pPr>
              <w:ind w:left="20"/>
              <w:spacing w:after="0" w:line="17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Agreement and Plan of Merger, dated August 9, 2021, among Nano-X Imaging Ltd, Zebra Medical Vision Ltd. and PerryLLion Ltd.</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11"/>
          </w:tcPr>
          <w:p>
            <w:pPr>
              <w:ind w:left="20"/>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(incorporated by reference to Exhibit 4.2 to the Registrant’s Registration Statement on Form 20-F (File No. 001-39461) filed on May 2,</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1"/>
          </w:tcPr>
          <w:p>
            <w:pPr>
              <w:ind w:left="20"/>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2022 with the SEC)</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1"/>
            <w:shd w:val="clear" w:color="auto" w:fill="CCEEFF"/>
          </w:tcPr>
          <w:p>
            <w:pPr>
              <w:ind w:left="20"/>
              <w:spacing w:after="0" w:line="17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First Amendment to the Agreement and Plan of Merger, dated August 9, 2021, among Nano-X Imaging Ltd, Zebra Medical Vision Ltd.</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1"/>
            <w:shd w:val="clear" w:color="auto" w:fill="CCEEFF"/>
          </w:tcPr>
          <w:p>
            <w:pPr>
              <w:ind w:left="20"/>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and PerryLLion Ltd. (incorporated by reference to Exhibit 4.3 to the Registrant’s Registration Statement on Form 20-F (File No. 001-</w:t>
              </w:r>
            </w:hyperlink>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1"/>
            <w:shd w:val="clear" w:color="auto" w:fill="CCEEFF"/>
          </w:tcPr>
          <w:p>
            <w:pPr>
              <w:ind w:left="20"/>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39461) filed on May 2, 2022 with the SEC)</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1"/>
          </w:tcPr>
          <w:p>
            <w:pPr>
              <w:ind w:left="20"/>
              <w:spacing w:after="0" w:line="17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Stock Purchase Agreement dated November 2, 2021 by and among Dr. Michael Yuz, Dr. Michael Yuz as the representative of Sellers,</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11"/>
          </w:tcPr>
          <w:p>
            <w:pPr>
              <w:ind w:left="20"/>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USARAD Holdings, Inc. and Nano-X Imaging Ltd (incorporated by reference to Exhibit 4.4 to the Registrant’s Registration Statement on</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1"/>
          </w:tcPr>
          <w:p>
            <w:pPr>
              <w:ind w:left="20"/>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Form 20-F (File No. 001-39461) filed on May 2, 2022 with the SEC)</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1"/>
            <w:shd w:val="clear" w:color="auto" w:fill="CCEEFF"/>
          </w:tcPr>
          <w:p>
            <w:pPr>
              <w:ind w:left="20"/>
              <w:spacing w:after="0" w:line="17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warrants to purchase ordinary shares issued to A-Labs Finance and Advisory Ltd. (incorporated by reference to Exhibit 4.5 to the</w:t>
              </w:r>
            </w:hyperlink>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1"/>
            <w:shd w:val="clear" w:color="auto" w:fill="CCEEFF"/>
          </w:tcPr>
          <w:p>
            <w:pPr>
              <w:ind w:left="20"/>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Registrant’s Registration Statement on Form F-1 (File No. 333-240209) filed on July 30, 2020 with the SEC)</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1"/>
          </w:tcPr>
          <w:p>
            <w:pPr>
              <w:ind w:left="20"/>
              <w:spacing w:after="0" w:line="17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Warrant to purchase ordinary shares, dated September 2, 2019, issued to SK Telecom TMT Investment Corp. (incorporated by reference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1"/>
          </w:tcPr>
          <w:p>
            <w:pPr>
              <w:ind w:left="20"/>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to Exhibit 4.6 to the Registrant’s Registration Statement on Form F-1 (File No. 333-240209) filed on July 30, 2020 with the SEC)</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1"/>
            <w:shd w:val="clear" w:color="auto" w:fill="CCEEFF"/>
          </w:tcPr>
          <w:p>
            <w:pPr>
              <w:ind w:left="20"/>
              <w:spacing w:after="0" w:line="17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Amendment to Warrant to purchase ordinary shares, dated June 4, 2020, issued to SK Telecom TMT Investment Corp. (incorporated by</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1"/>
            <w:shd w:val="clear" w:color="auto" w:fill="CCEEFF"/>
          </w:tcPr>
          <w:p>
            <w:pPr>
              <w:ind w:left="20"/>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reference to Exhibit 4.7 to the Registrant’s Registration Statement on Form F-1 (File No. 333-240209) filed on July 30, 2020 with the</w:t>
              </w:r>
            </w:hyperlink>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0000EE"/>
            </w:tcBorders>
            <w:shd w:val="clear" w:color="auto" w:fill="CCEEFF"/>
          </w:tcPr>
          <w:p>
            <w:pPr>
              <w:ind w:left="20"/>
              <w:spacing w:after="0" w:line="196" w:lineRule="exact"/>
              <w:rPr>
                <w:rFonts w:ascii="Times New Roman" w:cs="Times New Roman" w:eastAsia="Times New Roman" w:hAnsi="Times New Roman"/>
                <w:sz w:val="18"/>
                <w:szCs w:val="18"/>
                <w:color w:val="0000EE"/>
                <w:w w:val="92"/>
              </w:rPr>
            </w:pPr>
            <w:hyperlink r:id="rId148">
              <w:r>
                <w:rPr>
                  <w:rFonts w:ascii="Times New Roman" w:cs="Times New Roman" w:eastAsia="Times New Roman" w:hAnsi="Times New Roman"/>
                  <w:sz w:val="18"/>
                  <w:szCs w:val="18"/>
                  <w:color w:val="0000EE"/>
                  <w:w w:val="92"/>
                </w:rPr>
                <w:t>SEC)</w:t>
              </w:r>
            </w:hyperlink>
          </w:p>
        </w:tc>
        <w:tc>
          <w:tcPr>
            <w:tcW w:w="9600" w:type="dxa"/>
            <w:vAlign w:val="bottom"/>
            <w:tcBorders>
              <w:bottom w:val="single" w:sz="8" w:color="CCEEFF"/>
            </w:tcBorders>
            <w:gridSpan w:val="10"/>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1"/>
          </w:tcPr>
          <w:p>
            <w:pPr>
              <w:ind w:left="20"/>
              <w:spacing w:after="0" w:line="17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Contract Manufacturing Agreement, dated May 26, 2020, by and between the Registrant and FoxSemicon Integrated Technology, Inc.</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1"/>
          </w:tcPr>
          <w:p>
            <w:pPr>
              <w:ind w:left="20"/>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(incorporated by reference to Exhibit 10.1 to the Registrant’s Registration Statement on Form F-1 (File No. 333-240209) filed on July 30,</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EE"/>
            </w:tcBorders>
            <w:gridSpan w:val="10"/>
          </w:tcPr>
          <w:p>
            <w:pPr>
              <w:ind w:left="20"/>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2020 with the SEC)</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1"/>
            <w:shd w:val="clear" w:color="auto" w:fill="CCEEFF"/>
          </w:tcPr>
          <w:p>
            <w:pPr>
              <w:ind w:left="20"/>
              <w:spacing w:after="0" w:line="17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Registration Rights Agreement by and among the Registrant and the certain shareholders named therein (incorporated by reference to</w:t>
              </w:r>
            </w:hyperlink>
          </w:p>
        </w:tc>
      </w:tr>
      <w:tr>
        <w:trPr>
          <w:trHeight w:val="216"/>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Exhibit 10.2 to the Registrant’s Registration Statement on Form F-1/A (File No. 333-240209) filed on August 14, 2020 with the SEC)</w:t>
              </w:r>
            </w:hyperlink>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980" w:type="dxa"/>
            <w:vAlign w:val="bottom"/>
            <w:tcBorders>
              <w:top w:val="single" w:sz="8" w:color="0000EE"/>
              <w:bottom w:val="single" w:sz="8" w:color="auto"/>
            </w:tcBorders>
            <w:gridSpan w:val="4"/>
          </w:tcPr>
          <w:p>
            <w:pPr>
              <w:ind w:left="4240"/>
              <w:spacing w:after="0"/>
              <w:rPr>
                <w:sz w:val="20"/>
                <w:szCs w:val="20"/>
                <w:color w:val="auto"/>
              </w:rPr>
            </w:pPr>
            <w:r>
              <w:rPr>
                <w:rFonts w:ascii="Times New Roman" w:cs="Times New Roman" w:eastAsia="Times New Roman" w:hAnsi="Times New Roman"/>
                <w:sz w:val="18"/>
                <w:szCs w:val="18"/>
                <w:color w:val="auto"/>
              </w:rPr>
              <w:t>124</w:t>
            </w:r>
          </w:p>
        </w:tc>
        <w:tc>
          <w:tcPr>
            <w:tcW w:w="420" w:type="dxa"/>
            <w:vAlign w:val="bottom"/>
            <w:tcBorders>
              <w:top w:val="single" w:sz="8" w:color="0000EE"/>
              <w:bottom w:val="single" w:sz="8" w:color="auto"/>
            </w:tcBorders>
          </w:tcPr>
          <w:p>
            <w:pPr>
              <w:spacing w:after="0"/>
              <w:rPr>
                <w:sz w:val="24"/>
                <w:szCs w:val="24"/>
                <w:color w:val="auto"/>
              </w:rPr>
            </w:pPr>
          </w:p>
        </w:tc>
        <w:tc>
          <w:tcPr>
            <w:tcW w:w="196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48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4.10*</w:t>
            </w:r>
          </w:p>
        </w:tc>
        <w:tc>
          <w:tcPr>
            <w:tcW w:w="10000" w:type="dxa"/>
            <w:vAlign w:val="bottom"/>
            <w:tcBorders>
              <w:bottom w:val="single" w:sz="8" w:color="0000EE"/>
            </w:tcBorders>
            <w:gridSpan w:val="12"/>
            <w:shd w:val="clear" w:color="auto" w:fill="CCEEFF"/>
          </w:tcPr>
          <w:p>
            <w:pPr>
              <w:ind w:left="20"/>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2019 Equity Incentive Plan (incorporated by reference to Exhibit 10.3 to the Registrant’s Registration Statement on Form F-1 (File No.</w:t>
              </w:r>
            </w:hyperlink>
          </w:p>
        </w:tc>
      </w:tr>
      <w:tr>
        <w:trPr>
          <w:trHeight w:val="196"/>
        </w:trPr>
        <w:tc>
          <w:tcPr>
            <w:tcW w:w="1240" w:type="dxa"/>
            <w:vAlign w:val="bottom"/>
            <w:shd w:val="clear" w:color="auto" w:fill="CCEEFF"/>
          </w:tcPr>
          <w:p>
            <w:pPr>
              <w:spacing w:after="0"/>
              <w:rPr>
                <w:sz w:val="17"/>
                <w:szCs w:val="17"/>
                <w:color w:val="auto"/>
              </w:rPr>
            </w:pPr>
          </w:p>
        </w:tc>
        <w:tc>
          <w:tcPr>
            <w:tcW w:w="10000" w:type="dxa"/>
            <w:vAlign w:val="bottom"/>
            <w:gridSpan w:val="12"/>
            <w:shd w:val="clear" w:color="auto" w:fill="CCEEFF"/>
          </w:tcPr>
          <w:p>
            <w:pPr>
              <w:ind w:left="20"/>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333-240209) filed on July 30, 2020 with the SEC)</w:t>
              </w:r>
            </w:hyperlink>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0000" w:type="dxa"/>
            <w:vAlign w:val="bottom"/>
            <w:tcBorders>
              <w:bottom w:val="single" w:sz="8" w:color="0000EE"/>
            </w:tcBorders>
            <w:gridSpan w:val="12"/>
          </w:tcPr>
          <w:p>
            <w:pPr>
              <w:ind w:left="20"/>
              <w:spacing w:after="0" w:line="17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U.S. Sub-Plan (incorporated by reference to Exhibit 10.4 to the Registrant’s Registration Statement on Form F-1 (File No. 333-240209)</w:t>
              </w:r>
            </w:hyperlink>
          </w:p>
        </w:tc>
      </w:tr>
      <w:tr>
        <w:trPr>
          <w:trHeight w:val="196"/>
        </w:trPr>
        <w:tc>
          <w:tcPr>
            <w:tcW w:w="1240" w:type="dxa"/>
            <w:vAlign w:val="bottom"/>
          </w:tcPr>
          <w:p>
            <w:pPr>
              <w:spacing w:after="0"/>
              <w:rPr>
                <w:sz w:val="17"/>
                <w:szCs w:val="17"/>
                <w:color w:val="auto"/>
              </w:rPr>
            </w:pPr>
          </w:p>
        </w:tc>
        <w:tc>
          <w:tcPr>
            <w:tcW w:w="10000" w:type="dxa"/>
            <w:vAlign w:val="bottom"/>
            <w:gridSpan w:val="12"/>
          </w:tcPr>
          <w:p>
            <w:pPr>
              <w:ind w:left="20"/>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filed on July 30, 2020 with the SEC)</w:t>
              </w:r>
            </w:hyperlink>
          </w:p>
        </w:tc>
      </w:tr>
      <w:tr>
        <w:trPr>
          <w:trHeight w:val="21"/>
        </w:trPr>
        <w:tc>
          <w:tcPr>
            <w:tcW w:w="1240" w:type="dxa"/>
            <w:vAlign w:val="bottom"/>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000" w:type="dxa"/>
            <w:vAlign w:val="bottom"/>
            <w:tcBorders>
              <w:bottom w:val="single" w:sz="8" w:color="0000EE"/>
            </w:tcBorders>
            <w:gridSpan w:val="12"/>
            <w:shd w:val="clear" w:color="auto" w:fill="CCEEFF"/>
          </w:tcPr>
          <w:p>
            <w:pPr>
              <w:ind w:left="20"/>
              <w:spacing w:after="0" w:line="17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Form of Indemnification Agreement between the Registrant and each director and executive officer (incorporated by reference to Exhibit</w:t>
              </w:r>
            </w:hyperlink>
          </w:p>
        </w:tc>
      </w:tr>
      <w:tr>
        <w:trPr>
          <w:trHeight w:val="216"/>
        </w:trPr>
        <w:tc>
          <w:tcPr>
            <w:tcW w:w="1240" w:type="dxa"/>
            <w:vAlign w:val="bottom"/>
            <w:tcBorders>
              <w:bottom w:val="single" w:sz="8" w:color="CCEEFF"/>
            </w:tcBorders>
            <w:shd w:val="clear" w:color="auto" w:fill="CCEEFF"/>
          </w:tcPr>
          <w:p>
            <w:pPr>
              <w:spacing w:after="0"/>
              <w:rPr>
                <w:sz w:val="18"/>
                <w:szCs w:val="18"/>
                <w:color w:val="auto"/>
              </w:rPr>
            </w:pPr>
          </w:p>
        </w:tc>
        <w:tc>
          <w:tcPr>
            <w:tcW w:w="9080" w:type="dxa"/>
            <w:vAlign w:val="bottom"/>
            <w:tcBorders>
              <w:bottom w:val="single" w:sz="8" w:color="0000EE"/>
            </w:tcBorders>
            <w:gridSpan w:val="10"/>
            <w:shd w:val="clear" w:color="auto" w:fill="CCEEFF"/>
          </w:tcPr>
          <w:p>
            <w:pPr>
              <w:ind w:left="20"/>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5</w:t>
              </w:r>
              <w:r>
                <w:rPr>
                  <w:rFonts w:ascii="Times New Roman" w:cs="Times New Roman" w:eastAsia="Times New Roman" w:hAnsi="Times New Roman"/>
                  <w:sz w:val="18"/>
                  <w:szCs w:val="18"/>
                  <w:color w:val="0000EE"/>
                  <w:w w:val="99"/>
                </w:rPr>
                <w:t xml:space="preserve"> to the Registrant’s Registration Statement on Form F-1/A (File No. 333-240209) filed on August 14, 2020 with the SEC)</w:t>
              </w:r>
            </w:hyperlink>
          </w:p>
        </w:tc>
        <w:tc>
          <w:tcPr>
            <w:tcW w:w="920" w:type="dxa"/>
            <w:vAlign w:val="bottom"/>
            <w:tcBorders>
              <w:bottom w:val="single" w:sz="8" w:color="CCEEFF"/>
            </w:tcBorders>
            <w:gridSpan w:val="2"/>
            <w:shd w:val="clear" w:color="auto" w:fill="CCEEFF"/>
          </w:tcPr>
          <w:p>
            <w:pPr>
              <w:spacing w:after="0"/>
              <w:rPr>
                <w:sz w:val="18"/>
                <w:szCs w:val="18"/>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000" w:type="dxa"/>
            <w:vAlign w:val="bottom"/>
            <w:tcBorders>
              <w:bottom w:val="single" w:sz="8" w:color="0000EE"/>
            </w:tcBorders>
            <w:gridSpan w:val="12"/>
          </w:tcPr>
          <w:p>
            <w:pPr>
              <w:ind w:left="20"/>
              <w:spacing w:after="0" w:line="17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Compensation Policy for Executive Officers and Directors (incorporated by reference to Exhibit A to the Proxy Statement filed as Exhibit</w:t>
              </w:r>
            </w:hyperlink>
          </w:p>
        </w:tc>
      </w:tr>
      <w:tr>
        <w:trPr>
          <w:trHeight w:val="196"/>
        </w:trPr>
        <w:tc>
          <w:tcPr>
            <w:tcW w:w="1240" w:type="dxa"/>
            <w:vAlign w:val="bottom"/>
          </w:tcPr>
          <w:p>
            <w:pPr>
              <w:spacing w:after="0"/>
              <w:rPr>
                <w:sz w:val="17"/>
                <w:szCs w:val="17"/>
                <w:color w:val="auto"/>
              </w:rPr>
            </w:pPr>
          </w:p>
        </w:tc>
        <w:tc>
          <w:tcPr>
            <w:tcW w:w="10000" w:type="dxa"/>
            <w:vAlign w:val="bottom"/>
            <w:gridSpan w:val="12"/>
          </w:tcPr>
          <w:p>
            <w:pPr>
              <w:ind w:left="20"/>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Registrant’s Form 6-K (File No. 001-39461) filed on December 31, 2020 with the SEC)</w:t>
              </w:r>
            </w:hyperlink>
          </w:p>
        </w:tc>
      </w:tr>
      <w:tr>
        <w:trPr>
          <w:trHeight w:val="21"/>
        </w:trPr>
        <w:tc>
          <w:tcPr>
            <w:tcW w:w="1240" w:type="dxa"/>
            <w:vAlign w:val="bottom"/>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5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0000" w:type="dxa"/>
            <w:vAlign w:val="bottom"/>
            <w:tcBorders>
              <w:bottom w:val="single" w:sz="8" w:color="0000EE"/>
            </w:tcBorders>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Settlement Agreement and Release dated December 29, 2022, among Nano-X Imaging Ltd, Nano-X AI Ltd. (formerly Zebra Medical</w:t>
            </w:r>
          </w:p>
        </w:tc>
      </w:tr>
      <w:tr>
        <w:trPr>
          <w:trHeight w:val="196"/>
        </w:trPr>
        <w:tc>
          <w:tcPr>
            <w:tcW w:w="1240" w:type="dxa"/>
            <w:vAlign w:val="bottom"/>
            <w:shd w:val="clear" w:color="auto" w:fill="CCEEFF"/>
          </w:tcPr>
          <w:p>
            <w:pPr>
              <w:spacing w:after="0"/>
              <w:rPr>
                <w:sz w:val="17"/>
                <w:szCs w:val="17"/>
                <w:color w:val="auto"/>
              </w:rPr>
            </w:pPr>
          </w:p>
        </w:tc>
        <w:tc>
          <w:tcPr>
            <w:tcW w:w="10000" w:type="dxa"/>
            <w:vAlign w:val="bottom"/>
            <w:gridSpan w:val="1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Vision Ltd.) and PerryLLion Ltd.</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0000" w:type="dxa"/>
            <w:vAlign w:val="bottom"/>
            <w:gridSpan w:val="12"/>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First Amendment to Stock Purchase Agreement dated April 28, 2023, by and among Dr. Michael Yuz, as the Seller Representative, Nano-</w:t>
            </w:r>
          </w:p>
        </w:tc>
      </w:tr>
      <w:tr>
        <w:trPr>
          <w:trHeight w:val="196"/>
        </w:trPr>
        <w:tc>
          <w:tcPr>
            <w:tcW w:w="1240" w:type="dxa"/>
            <w:vAlign w:val="bottom"/>
          </w:tcPr>
          <w:p>
            <w:pPr>
              <w:spacing w:after="0"/>
              <w:rPr>
                <w:sz w:val="17"/>
                <w:szCs w:val="17"/>
                <w:color w:val="auto"/>
              </w:rPr>
            </w:pPr>
          </w:p>
        </w:tc>
        <w:tc>
          <w:tcPr>
            <w:tcW w:w="9980" w:type="dxa"/>
            <w:vAlign w:val="bottom"/>
            <w:tcBorders>
              <w:top w:val="single" w:sz="8" w:color="0000EE"/>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EE"/>
              </w:rPr>
              <w:t>X Imaging, Inc. and Nano-X Imaging Ltd</w:t>
            </w:r>
          </w:p>
        </w:tc>
        <w:tc>
          <w:tcPr>
            <w:tcW w:w="20" w:type="dxa"/>
            <w:vAlign w:val="bottom"/>
          </w:tcPr>
          <w:p>
            <w:pPr>
              <w:spacing w:after="0"/>
              <w:rPr>
                <w:sz w:val="17"/>
                <w:szCs w:val="17"/>
                <w:color w:val="auto"/>
              </w:rPr>
            </w:pPr>
          </w:p>
        </w:tc>
      </w:tr>
      <w:tr>
        <w:trPr>
          <w:trHeight w:val="21"/>
        </w:trPr>
        <w:tc>
          <w:tcPr>
            <w:tcW w:w="1240" w:type="dxa"/>
            <w:vAlign w:val="bottom"/>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10000" w:type="dxa"/>
            <w:vAlign w:val="bottom"/>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List of subsidiaries of the Registrant</w:t>
            </w: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10000" w:type="dxa"/>
            <w:vAlign w:val="bottom"/>
            <w:gridSpan w:val="12"/>
          </w:tcPr>
          <w:p>
            <w:pPr>
              <w:ind w:left="20"/>
              <w:spacing w:after="0" w:line="176" w:lineRule="exact"/>
              <w:rPr>
                <w:sz w:val="20"/>
                <w:szCs w:val="20"/>
                <w:color w:val="auto"/>
              </w:rPr>
            </w:pPr>
            <w:r>
              <w:rPr>
                <w:rFonts w:ascii="Times New Roman" w:cs="Times New Roman" w:eastAsia="Times New Roman" w:hAnsi="Times New Roman"/>
                <w:sz w:val="18"/>
                <w:szCs w:val="18"/>
                <w:color w:val="0000EE"/>
              </w:rPr>
              <w:t>Certification by Principal Executive Officer Pursuant to Section 302 of the Sarbanes-Oxley Act of 2002</w:t>
            </w:r>
          </w:p>
        </w:tc>
      </w:tr>
      <w:tr>
        <w:trPr>
          <w:trHeight w:val="21"/>
        </w:trPr>
        <w:tc>
          <w:tcPr>
            <w:tcW w:w="1240" w:type="dxa"/>
            <w:vAlign w:val="bottom"/>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7440" w:type="dxa"/>
            <w:vAlign w:val="bottom"/>
            <w:tcBorders>
              <w:bottom w:val="single" w:sz="8" w:color="0000EE"/>
            </w:tcBorders>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Certification by Principal Financial Officer Pursuant to Section 302 of the Sarbanes-Oxley Act of 2002</w:t>
            </w:r>
          </w:p>
        </w:tc>
        <w:tc>
          <w:tcPr>
            <w:tcW w:w="2560" w:type="dxa"/>
            <w:vAlign w:val="bottom"/>
            <w:tcBorders>
              <w:bottom w:val="single" w:sz="8" w:color="CCEEFF"/>
            </w:tcBorders>
            <w:gridSpan w:val="4"/>
            <w:shd w:val="clear" w:color="auto" w:fill="CCEEFF"/>
          </w:tcPr>
          <w:p>
            <w:pPr>
              <w:spacing w:after="0"/>
              <w:rPr>
                <w:sz w:val="17"/>
                <w:szCs w:val="17"/>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10000" w:type="dxa"/>
            <w:vAlign w:val="bottom"/>
            <w:gridSpan w:val="12"/>
          </w:tcPr>
          <w:p>
            <w:pPr>
              <w:ind w:left="20"/>
              <w:spacing w:after="0" w:line="176" w:lineRule="exact"/>
              <w:rPr>
                <w:sz w:val="20"/>
                <w:szCs w:val="20"/>
                <w:color w:val="auto"/>
              </w:rPr>
            </w:pPr>
            <w:r>
              <w:rPr>
                <w:rFonts w:ascii="Times New Roman" w:cs="Times New Roman" w:eastAsia="Times New Roman" w:hAnsi="Times New Roman"/>
                <w:sz w:val="18"/>
                <w:szCs w:val="18"/>
                <w:color w:val="0000EE"/>
              </w:rPr>
              <w:t>Certification by Principal Executive Officer Pursuant to Section 906 of the Sarbanes-Oxley Act of 2002</w:t>
            </w:r>
          </w:p>
        </w:tc>
      </w:tr>
      <w:tr>
        <w:trPr>
          <w:trHeight w:val="20"/>
        </w:trPr>
        <w:tc>
          <w:tcPr>
            <w:tcW w:w="1240" w:type="dxa"/>
            <w:vAlign w:val="bottom"/>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7440" w:type="dxa"/>
            <w:vAlign w:val="bottom"/>
            <w:tcBorders>
              <w:bottom w:val="single" w:sz="8" w:color="0000EE"/>
            </w:tcBorders>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Certification by Principal Financial Officer Pursuant to Section 906 of the Sarbanes-Oxley Act of 2002</w:t>
            </w:r>
          </w:p>
        </w:tc>
        <w:tc>
          <w:tcPr>
            <w:tcW w:w="2560" w:type="dxa"/>
            <w:vAlign w:val="bottom"/>
            <w:tcBorders>
              <w:bottom w:val="single" w:sz="8" w:color="CCEEFF"/>
            </w:tcBorders>
            <w:gridSpan w:val="4"/>
            <w:shd w:val="clear" w:color="auto" w:fill="CCEEFF"/>
          </w:tcPr>
          <w:p>
            <w:pPr>
              <w:spacing w:after="0"/>
              <w:rPr>
                <w:sz w:val="17"/>
                <w:szCs w:val="17"/>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10000" w:type="dxa"/>
            <w:vAlign w:val="bottom"/>
            <w:tcBorders>
              <w:bottom w:val="single" w:sz="8" w:color="0000EE"/>
            </w:tcBorders>
            <w:gridSpan w:val="12"/>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Consent of Kesselman &amp; Kesselman, Certified Public Accountants (Isr.) a member firm of PricewaterhouseCoopers International Limited,</w:t>
            </w:r>
          </w:p>
        </w:tc>
      </w:tr>
      <w:tr>
        <w:trPr>
          <w:trHeight w:val="196"/>
        </w:trPr>
        <w:tc>
          <w:tcPr>
            <w:tcW w:w="1240" w:type="dxa"/>
            <w:vAlign w:val="bottom"/>
          </w:tcPr>
          <w:p>
            <w:pPr>
              <w:spacing w:after="0"/>
              <w:rPr>
                <w:sz w:val="17"/>
                <w:szCs w:val="17"/>
                <w:color w:val="auto"/>
              </w:rPr>
            </w:pPr>
          </w:p>
        </w:tc>
        <w:tc>
          <w:tcPr>
            <w:tcW w:w="1000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r>
      <w:tr>
        <w:trPr>
          <w:trHeight w:val="21"/>
        </w:trPr>
        <w:tc>
          <w:tcPr>
            <w:tcW w:w="1240" w:type="dxa"/>
            <w:vAlign w:val="bottom"/>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420" w:firstLine="8"/>
        <w:spacing w:after="0" w:line="489" w:lineRule="auto"/>
        <w:tabs>
          <w:tab w:leader="none" w:pos="124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Previously filed.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reviewing the agreements included as exhibits to this annual report on Form 20-F, please remember they are included to provide you with information regarding their terms and are not intended to provide any other factual or disclosure information about us or the other parties to the agreements.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agreements may contain representations and warranties by each of the parties to the applicable agreement. These representations and warranties have been made solely for the benefit of the other parties to the applicable agreement and:</w:t>
      </w:r>
    </w:p>
    <w:p>
      <w:pPr>
        <w:spacing w:after="0" w:line="162" w:lineRule="exact"/>
        <w:rPr>
          <w:sz w:val="20"/>
          <w:szCs w:val="20"/>
          <w:color w:val="auto"/>
        </w:rPr>
      </w:pPr>
    </w:p>
    <w:p>
      <w:pPr>
        <w:ind w:left="980" w:right="20" w:hanging="324"/>
        <w:spacing w:after="0" w:line="282"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in all instances be treated as categorical statements of fact, but rather as a way of allocating the risk to one of the parties if those statements prove to be inaccurate;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qualified by disclosures that were made to the other party in connection with the negotiation of the applicable agreement, which disclosures are not necessarily reflected in the agreement;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standards of materiality in a way that is different from what may be viewed as material to you or other investors;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the date of the applicable agreement or such other date or dates as may be specified in the agreement and are subject to more recent developments.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these representations and warranties may not describe the actual state of affairs as of the date they were made or at any other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NANO-X IMAGING LTD hereby certifies that it meets all of the requirements for filing on Form 20-F and that it has duly caused and authorized the undersigned to sign this annual report on Form 20-F on its behalf.</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NANO-X IMAGING LTD</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Erez 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Erez Meltzer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76"/>
        </w:trPr>
        <w:tc>
          <w:tcPr>
            <w:tcW w:w="101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Report of Independent Registered Public Accounting Firm (PCAOB name: Kesselman &amp; Kesselman C.P.A.s and PCAOB</w:t>
            </w:r>
          </w:p>
        </w:tc>
        <w:tc>
          <w:tcPr>
            <w:tcW w:w="1120" w:type="dxa"/>
            <w:vAlign w:val="bottom"/>
            <w:shd w:val="clear" w:color="auto" w:fill="CCEEFF"/>
          </w:tcPr>
          <w:p>
            <w:pPr>
              <w:spacing w:after="0"/>
              <w:rPr>
                <w:sz w:val="15"/>
                <w:szCs w:val="15"/>
                <w:color w:val="auto"/>
              </w:rPr>
            </w:pPr>
          </w:p>
        </w:tc>
      </w:tr>
      <w:tr>
        <w:trPr>
          <w:trHeight w:val="216"/>
        </w:trPr>
        <w:tc>
          <w:tcPr>
            <w:tcW w:w="160" w:type="dxa"/>
            <w:vAlign w:val="bottom"/>
            <w:tcBorders>
              <w:top w:val="single" w:sz="8" w:color="0000EE"/>
            </w:tcBorders>
            <w:shd w:val="clear" w:color="auto" w:fill="CCEEFF"/>
          </w:tcPr>
          <w:p>
            <w:pPr>
              <w:spacing w:after="0"/>
              <w:rPr>
                <w:sz w:val="18"/>
                <w:szCs w:val="18"/>
                <w:color w:val="auto"/>
              </w:rPr>
            </w:pPr>
          </w:p>
        </w:tc>
        <w:tc>
          <w:tcPr>
            <w:tcW w:w="9160" w:type="dxa"/>
            <w:vAlign w:val="bottom"/>
            <w:tcBorders>
              <w:top w:val="single" w:sz="8" w:color="0000EE"/>
            </w:tcBorders>
            <w:gridSpan w:val="7"/>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0000EE"/>
              </w:rPr>
              <w:t>ID: 1309)</w:t>
            </w:r>
          </w:p>
        </w:tc>
        <w:tc>
          <w:tcPr>
            <w:tcW w:w="8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Balance Sheets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6"/>
        </w:trPr>
        <w:tc>
          <w:tcPr>
            <w:tcW w:w="1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Operations and Comprehensive Loss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6"/>
        </w:trPr>
        <w:tc>
          <w:tcPr>
            <w:tcW w:w="1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Changes in Shareholders’ Equity (Capital Deficiency)</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16"/>
        </w:trPr>
        <w:tc>
          <w:tcPr>
            <w:tcW w:w="1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Cash Flows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F-8</w:t>
            </w:r>
          </w:p>
        </w:tc>
      </w:tr>
      <w:tr>
        <w:trPr>
          <w:trHeight w:val="216"/>
        </w:trPr>
        <w:tc>
          <w:tcPr>
            <w:tcW w:w="1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Notes to the Consolidated Financial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F-9 – F-45</w:t>
            </w:r>
          </w:p>
        </w:tc>
      </w:tr>
      <w:tr>
        <w:trPr>
          <w:trHeight w:val="655"/>
        </w:trPr>
        <w:tc>
          <w:tcPr>
            <w:tcW w:w="16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130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340" w:type="dxa"/>
            <w:vAlign w:val="bottom"/>
            <w:tcBorders>
              <w:top w:val="single" w:sz="8" w:color="CCEEFF"/>
              <w:bottom w:val="single" w:sz="8" w:color="auto"/>
            </w:tcBorders>
          </w:tcPr>
          <w:p>
            <w:pPr>
              <w:spacing w:after="0"/>
              <w:rPr>
                <w:sz w:val="24"/>
                <w:szCs w:val="24"/>
                <w:color w:val="auto"/>
              </w:rPr>
            </w:pPr>
          </w:p>
        </w:tc>
        <w:tc>
          <w:tcPr>
            <w:tcW w:w="5140" w:type="dxa"/>
            <w:vAlign w:val="bottom"/>
            <w:tcBorders>
              <w:top w:val="single" w:sz="8" w:color="CCEEFF"/>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color w:val="auto"/>
              </w:rPr>
              <w:t>F-1</w:t>
            </w:r>
          </w:p>
        </w:tc>
        <w:tc>
          <w:tcPr>
            <w:tcW w:w="1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1268730" cy="1071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26873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Nano-X Imaging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Nano-X Imaging Ltd. and its subsidiaries (the “Company”) as of December 31, 2022 and 2021, and the related consolidated statements of operations, of changes in shareholders’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2022 and 2021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results of its operations and its cash flows for each of the three years in the period ended December 31, 2022 in conformity with accounting principles generally accepted in the United States of America. the effectiveness of the Company’s internal control over financial reporting does not affect our opinion on those consolidated financial statements.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Also in our opinion, the Company did not maintain,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 because material weakness in internal control over financial reporting existed as of that date. The Company lacked a sufficient number of financial reporting personnel with an appropriate level of knowledge, experience and training commensurate with the Company’s financial reporting requirements.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in Item 15A. We considered this material weakness in determining the nature, timing, and extent of audit tests applied in our audit of the 2022 consolidated financial statements, and our opinion regarding the effectiveness of the Company’s internal control over financial reporting does not affect our opinion on those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appearing under Item 15A.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i w:val="1"/>
          <w:iCs w:val="1"/>
          <w:color w:val="auto"/>
        </w:rPr>
        <w:t>Goodwill impairment assessment – AI Solutions reporting unit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 4 to the consolidated financial statements, the Company’s consolidated goodwill balance and goodwill balance for AI solutions reporting unit were $7,420 thousand and $365 thousand, respectively, as of December 31, 2022. As disclosed by management, goodwill is assigned to reporting units and tested for impairment at least annually, in the fourth quarter of the fiscal year, and whenever events or changes in circumstances indicate the carrying value of goodwill may not be recoverable. During the second quarter of 2022, management noted the following main triggering events for its AI solutions reporting unit: (i) fluctuations in the macroeconomic environment and (ii) updated assumptions supporting the cash flow projections of the AI Solutions reporting unit, including certain revenue growth assumptions, and the associated operating profit margins. As a result, management performed a quantitative analysis and recorded a goodwill impairment charge of $14,338 thousand related to its AI solutions reporting unit. During the fourth quarter of 2022, management conducted a quantitative analysis of the reporting unit as part of its annual goodwill impairment test with the assistance of an independent valuation expert. In the fourth quarter of 2022, management recorded an additional goodwill impairment charge of $36,540 thousand related to its AI solutions reporting unit. Management determines the fair value of its reporting units using the income approach, according to which, the method used is the discounted cash flow method. Management starts with a forecast of all the expected net cash flows associated with the reporting unit, which includes the application of a terminal value, and then applies a discount rate to arrive at a net present value amount. As disclosed by management, key estimates include the terminal revenue growth rate taking into consideration industry and market conditions and the discount rate.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goodwill impairment assessment for the AI solutions reporting unit is a critical audit matter is (i) the significant judgment by management when determining the fair value of the reporting unit; (ii) a high degree of auditor judgment, subjectivity and effort in performing procedures and evaluating management’s significant assumptions related to the terminal revenue growth rate and discount rate; and (iii) the audit effort involved the use of professionals with specialized skill and knowledge.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AI solutions reporting unit. These procedures also included, among others, (i) testing management’s process for determining the fair value estimate; (ii) evaluating the appropriateness of the discounted cash flow model; (iii) testing the completeness, accuracy and relevance of underlying data used in the model; and (iv) evaluating the significant assumptions used by management related to the terminal revenue growth rate and discount rate. Evaluating management’s assumptions related to the terminal revenue growth rate involved evaluating whether the assumptions used by management were reasonable considering (i) the current and past performance of the reporting unit, (ii) the consistency with external market and industry data, and (iii) whether these assumptions were consistent with evidence obtained in other areas of the audit. Professionals with specialized skill and knowledge were used to assist in the evaluation of management’s discounted cash flow model and the discount rate assumption.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Kesselman &amp; Kesselman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PricewaterhouseCoopers International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NANO-X IMAGING LTD.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CONSOLIDATED BALANCE SHEETS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24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00" w:type="dxa"/>
            <w:vAlign w:val="bottom"/>
            <w:gridSpan w:val="2"/>
          </w:tcPr>
          <w:p>
            <w:pPr>
              <w:spacing w:after="0"/>
              <w:rPr>
                <w:sz w:val="19"/>
                <w:szCs w:val="19"/>
                <w:color w:val="auto"/>
              </w:rPr>
            </w:pPr>
          </w:p>
        </w:tc>
      </w:tr>
      <w:tr>
        <w:trPr>
          <w:trHeight w:val="194"/>
        </w:trPr>
        <w:tc>
          <w:tcPr>
            <w:tcW w:w="8680" w:type="dxa"/>
            <w:vAlign w:val="bottom"/>
          </w:tcPr>
          <w:p>
            <w:pPr>
              <w:ind w:left="4040"/>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38,463</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66,645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 - short term</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39,161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22,066</w:t>
            </w: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receivables net of allowance for credit losses of $34 and $137 as of December 31, 2022 and December</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31,2021, respectively.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1,051</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3,129</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1,966</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82,461</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94,857</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43,545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37,435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 - long term</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25,198</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67,845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91,219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101,826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7,420</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58,298</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1,057</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171,472</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268,313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253,933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363,170</w:t>
            </w:r>
          </w:p>
        </w:tc>
        <w:tc>
          <w:tcPr>
            <w:tcW w:w="80" w:type="dxa"/>
            <w:vAlign w:val="bottom"/>
            <w:shd w:val="clear" w:color="auto" w:fill="CCEEFF"/>
          </w:tcPr>
          <w:p>
            <w:pPr>
              <w:spacing w:after="0"/>
              <w:rPr>
                <w:sz w:val="21"/>
                <w:szCs w:val="2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9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12,240</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3,611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from a Government Agency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short term earnout liability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42,471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2,262</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25,074</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52,751</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 term loan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deferred revenue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long-term earnout liability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5,814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7,063</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18,271</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37,253</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71,022</w:t>
            </w:r>
          </w:p>
        </w:tc>
        <w:tc>
          <w:tcPr>
            <w:tcW w:w="100" w:type="dxa"/>
            <w:vAlign w:val="bottom"/>
            <w:tcBorders>
              <w:bottom w:val="single" w:sz="8" w:color="CCEEFF"/>
            </w:tcBorders>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par value NIS 0.01 per share 100,000,000 authorized at December 31, 2022 and December 31</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2021, 55,094,237 and 51,791,441 issued and outstanding at December 31, 2022 and December 31, 2021,</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477,953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438,820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(1,974)</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(259,457)</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(146,214)</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216,680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292,148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253,933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363,170</w:t>
            </w:r>
          </w:p>
        </w:tc>
        <w:tc>
          <w:tcPr>
            <w:tcW w:w="8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542"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8"/>
        </w:trPr>
        <w:tc>
          <w:tcPr>
            <w:tcW w:w="2020" w:type="dxa"/>
            <w:vAlign w:val="bottom"/>
          </w:tcPr>
          <w:p>
            <w:pPr>
              <w:spacing w:after="0"/>
              <w:rPr>
                <w:sz w:val="20"/>
                <w:szCs w:val="20"/>
                <w:color w:val="auto"/>
              </w:rPr>
            </w:pPr>
          </w:p>
        </w:tc>
        <w:tc>
          <w:tcPr>
            <w:tcW w:w="694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NANO-X IMAGING LTD.</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20" w:type="dxa"/>
            <w:vAlign w:val="bottom"/>
          </w:tcPr>
          <w:p>
            <w:pPr>
              <w:spacing w:after="0"/>
              <w:rPr>
                <w:sz w:val="24"/>
                <w:szCs w:val="24"/>
                <w:color w:val="auto"/>
              </w:rPr>
            </w:pPr>
          </w:p>
        </w:tc>
        <w:tc>
          <w:tcPr>
            <w:tcW w:w="694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auto"/>
                <w:w w:val="98"/>
              </w:rPr>
              <w:t>CONSOLIDATED STATEMENTS OF OPERATIONS AND COMPREHENSIVE LOSS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20" w:type="dxa"/>
            <w:vAlign w:val="bottom"/>
          </w:tcPr>
          <w:p>
            <w:pPr>
              <w:spacing w:after="0"/>
              <w:rPr>
                <w:sz w:val="20"/>
                <w:szCs w:val="20"/>
                <w:color w:val="auto"/>
              </w:rPr>
            </w:pPr>
          </w:p>
        </w:tc>
        <w:tc>
          <w:tcPr>
            <w:tcW w:w="694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20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980" w:type="dxa"/>
            <w:vAlign w:val="bottom"/>
            <w:tcBorders>
              <w:bottom w:val="single" w:sz="8" w:color="auto"/>
            </w:tcBorders>
            <w:gridSpan w:val="6"/>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20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23"/>
        </w:trPr>
        <w:tc>
          <w:tcPr>
            <w:tcW w:w="20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tcPr>
          <w:p>
            <w:pPr>
              <w:spacing w:after="0"/>
              <w:rPr>
                <w:sz w:val="19"/>
                <w:szCs w:val="19"/>
                <w:color w:val="auto"/>
              </w:rPr>
            </w:pPr>
          </w:p>
        </w:tc>
        <w:tc>
          <w:tcPr>
            <w:tcW w:w="298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U.S. Dollars in thousands</w:t>
            </w: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8,578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1,304</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6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15,458</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2,816</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2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5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(6,880)</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(1,512)</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20" w:type="dxa"/>
            <w:vAlign w:val="bottom"/>
            <w:shd w:val="clear" w:color="auto" w:fill="CCEEFF"/>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Goodwill impairment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contingent earnout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Other expenses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ind w:right="3340"/>
        <w:spacing w:after="0" w:line="350" w:lineRule="auto"/>
        <w:rPr>
          <w:sz w:val="20"/>
          <w:szCs w:val="20"/>
          <w:color w:val="auto"/>
        </w:rPr>
      </w:pPr>
      <w:r>
        <w:rPr>
          <w:rFonts w:ascii="Times New Roman" w:cs="Times New Roman" w:eastAsia="Times New Roman" w:hAnsi="Times New Roman"/>
          <w:sz w:val="17"/>
          <w:szCs w:val="17"/>
          <w:b w:val="1"/>
          <w:bCs w:val="1"/>
          <w:color w:val="auto"/>
        </w:rPr>
        <w:t>FINANCIAL INCOME (EXPENSES), net OPERATING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80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803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WEIGHTED AVERAGE OF THE NUMBER OF ORDINARY SHARES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loss from available-for-sale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26,507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17,122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4,376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7,033</w:t>
            </w:r>
          </w:p>
        </w:tc>
        <w:tc>
          <w:tcPr>
            <w:tcW w:w="11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12,445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41,254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34,709</w:t>
            </w:r>
          </w:p>
        </w:tc>
        <w:tc>
          <w:tcPr>
            <w:tcW w:w="11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22,268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50,878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(20,376)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8,191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110,830</w:t>
            </w:r>
          </w:p>
        </w:tc>
        <w:tc>
          <w:tcPr>
            <w:tcW w:w="24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60,046</w:t>
            </w: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43,923</w:t>
            </w:r>
          </w:p>
        </w:tc>
        <w:tc>
          <w:tcPr>
            <w:tcW w:w="20" w:type="dxa"/>
            <w:vAlign w:val="bottom"/>
            <w:tcBorders>
              <w:bottom w:val="single" w:sz="8" w:color="auto"/>
            </w:tcBorders>
          </w:tcPr>
          <w:p>
            <w:pPr>
              <w:spacing w:after="0"/>
              <w:rPr>
                <w:sz w:val="19"/>
                <w:szCs w:val="19"/>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223"/>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(117,710</w:t>
            </w:r>
          </w:p>
        </w:tc>
        <w:tc>
          <w:tcPr>
            <w:tcW w:w="240" w:type="dxa"/>
            <w:vAlign w:val="bottom"/>
            <w:vMerge w:val="continue"/>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(61,558</w:t>
            </w:r>
          </w:p>
        </w:tc>
        <w:tc>
          <w:tcPr>
            <w:tcW w:w="220" w:type="dxa"/>
            <w:vAlign w:val="bottom"/>
            <w:vMerge w:val="continue"/>
          </w:tcPr>
          <w:p>
            <w:pPr>
              <w:spacing w:after="0"/>
              <w:rPr>
                <w:sz w:val="19"/>
                <w:szCs w:val="19"/>
                <w:color w:val="auto"/>
              </w:rPr>
            </w:pPr>
          </w:p>
        </w:tc>
        <w:tc>
          <w:tcPr>
            <w:tcW w:w="116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(43,923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789</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(288)</w:t>
            </w:r>
          </w:p>
        </w:tc>
        <w:tc>
          <w:tcPr>
            <w:tcW w:w="11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(116,921</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(43,815</w:t>
            </w:r>
          </w:p>
        </w:tc>
        <w:tc>
          <w:tcPr>
            <w:tcW w:w="20" w:type="dxa"/>
            <w:vAlign w:val="bottom"/>
            <w:tcBorders>
              <w:top w:val="single" w:sz="8" w:color="auto"/>
            </w:tcBorders>
          </w:tcPr>
          <w:p>
            <w:pPr>
              <w:spacing w:after="0"/>
              <w:rPr>
                <w:sz w:val="19"/>
                <w:szCs w:val="19"/>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453"/>
        </w:trPr>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3,678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(113,243</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(43,815</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(2.17</w:t>
            </w:r>
            <w:r>
              <w:rPr>
                <w:rFonts w:ascii="Times New Roman" w:cs="Times New Roman" w:eastAsia="Times New Roman" w:hAnsi="Times New Roman"/>
                <w:sz w:val="35"/>
                <w:szCs w:val="35"/>
                <w:color w:val="auto"/>
                <w:vertAlign w:val="superscript"/>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(1.28</w:t>
            </w:r>
            <w:r>
              <w:rPr>
                <w:rFonts w:ascii="Times New Roman" w:cs="Times New Roman" w:eastAsia="Times New Roman" w:hAnsi="Times New Roman"/>
                <w:sz w:val="35"/>
                <w:szCs w:val="35"/>
                <w:color w:val="auto"/>
                <w:vertAlign w:val="superscript"/>
              </w:rPr>
              <w:t>)</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(1.23</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20"/>
        </w:trPr>
        <w:tc>
          <w:tcPr>
            <w:tcW w:w="1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52,235</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48,216</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35,654</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(113,243)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(61,798)</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(43,815)</w:t>
            </w:r>
          </w:p>
        </w:tc>
        <w:tc>
          <w:tcPr>
            <w:tcW w:w="0" w:type="dxa"/>
            <w:vAlign w:val="bottom"/>
          </w:tcPr>
          <w:p>
            <w:pPr>
              <w:spacing w:after="0"/>
              <w:rPr>
                <w:sz w:val="1"/>
                <w:szCs w:val="1"/>
                <w:color w:val="auto"/>
              </w:rPr>
            </w:pPr>
          </w:p>
        </w:tc>
      </w:tr>
      <w:tr>
        <w:trPr>
          <w:trHeight w:val="445"/>
        </w:trPr>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(1,367)</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160" w:space="160"/>
            <w:col w:w="392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COMPERHENSIVE LOSS</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(114,610</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(62,405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(43,815</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7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 OF CHANGES IN SHAREHOLDERS’ EQUITY (CAPITAL DEFICIENCY)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320" w:type="dxa"/>
            <w:vAlign w:val="bottom"/>
          </w:tcPr>
          <w:p>
            <w:pPr>
              <w:spacing w:after="0"/>
              <w:rPr>
                <w:sz w:val="22"/>
                <w:szCs w:val="22"/>
                <w:color w:val="auto"/>
              </w:rPr>
            </w:pPr>
          </w:p>
        </w:tc>
        <w:tc>
          <w:tcPr>
            <w:tcW w:w="224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2"/>
                <w:szCs w:val="22"/>
                <w:color w:val="auto"/>
              </w:rPr>
            </w:pPr>
          </w:p>
        </w:tc>
        <w:tc>
          <w:tcPr>
            <w:tcW w:w="128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320" w:type="dxa"/>
            <w:vAlign w:val="bottom"/>
          </w:tcPr>
          <w:p>
            <w:pPr>
              <w:spacing w:after="0"/>
              <w:rPr>
                <w:sz w:val="16"/>
                <w:szCs w:val="16"/>
                <w:color w:val="auto"/>
              </w:rPr>
            </w:pPr>
          </w:p>
        </w:tc>
        <w:tc>
          <w:tcPr>
            <w:tcW w:w="1140" w:type="dxa"/>
            <w:vAlign w:val="bottom"/>
            <w:tcBorders>
              <w:top w:val="single" w:sz="8" w:color="auto"/>
            </w:tcBorders>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rPr>
              <w:t>paid-in</w:t>
            </w:r>
          </w:p>
        </w:tc>
        <w:tc>
          <w:tcPr>
            <w:tcW w:w="138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00" w:type="dxa"/>
            <w:vAlign w:val="bottom"/>
            <w:gridSpan w:val="3"/>
          </w:tcPr>
          <w:p>
            <w:pPr>
              <w:jc w:val="right"/>
              <w:ind w:right="121"/>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320" w:type="dxa"/>
            <w:vAlign w:val="bottom"/>
          </w:tcPr>
          <w:p>
            <w:pPr>
              <w:spacing w:after="0"/>
              <w:rPr>
                <w:sz w:val="21"/>
                <w:szCs w:val="21"/>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0" w:type="dxa"/>
            <w:vAlign w:val="bottom"/>
          </w:tcPr>
          <w:p>
            <w:pPr>
              <w:spacing w:after="0"/>
              <w:rPr>
                <w:sz w:val="21"/>
                <w:szCs w:val="21"/>
                <w:color w:val="auto"/>
              </w:rPr>
            </w:pPr>
          </w:p>
        </w:tc>
        <w:tc>
          <w:tcPr>
            <w:tcW w:w="128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80" w:type="dxa"/>
            <w:vAlign w:val="bottom"/>
          </w:tcPr>
          <w:p>
            <w:pPr>
              <w:spacing w:after="0"/>
              <w:rPr>
                <w:sz w:val="21"/>
                <w:szCs w:val="21"/>
                <w:color w:val="auto"/>
              </w:rPr>
            </w:pPr>
          </w:p>
        </w:tc>
        <w:tc>
          <w:tcPr>
            <w:tcW w:w="122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3680" w:type="dxa"/>
            <w:vAlign w:val="bottom"/>
            <w:tcBorders>
              <w:top w:val="single" w:sz="8" w:color="auto"/>
              <w:bottom w:val="single" w:sz="8" w:color="auto"/>
            </w:tcBorders>
            <w:gridSpan w:val="8"/>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27,150,080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31,748</w:t>
            </w:r>
          </w:p>
        </w:tc>
        <w:tc>
          <w:tcPr>
            <w:tcW w:w="13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(40,601)</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(8,778)</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DURING 2020:</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ordinary shares and warrants, net of</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costs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4,624,500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70,999</w:t>
            </w:r>
          </w:p>
        </w:tc>
        <w:tc>
          <w:tcPr>
            <w:tcW w:w="13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71,013</w:t>
            </w:r>
          </w:p>
        </w:tc>
        <w:tc>
          <w:tcPr>
            <w:tcW w:w="0" w:type="dxa"/>
            <w:vAlign w:val="bottom"/>
          </w:tcPr>
          <w:p>
            <w:pPr>
              <w:spacing w:after="0"/>
              <w:rPr>
                <w:sz w:val="1"/>
                <w:szCs w:val="1"/>
                <w:color w:val="auto"/>
              </w:rPr>
            </w:pPr>
          </w:p>
        </w:tc>
      </w:tr>
      <w:tr>
        <w:trPr>
          <w:trHeight w:val="198"/>
        </w:trPr>
        <w:tc>
          <w:tcPr>
            <w:tcW w:w="4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Initial public offering of ordinary shares, net of offering</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10,555,556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169,136</w:t>
            </w:r>
          </w:p>
        </w:tc>
        <w:tc>
          <w:tcPr>
            <w:tcW w:w="13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ordinary shares to employees and non-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employees upon exercise of warrants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997,863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497</w:t>
            </w:r>
          </w:p>
        </w:tc>
        <w:tc>
          <w:tcPr>
            <w:tcW w:w="13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8"/>
        </w:trPr>
        <w:tc>
          <w:tcPr>
            <w:tcW w:w="4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ordinary shares to investors upon exercise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warrants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1,662,929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3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24,781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24,781</w:t>
            </w:r>
          </w:p>
        </w:tc>
        <w:tc>
          <w:tcPr>
            <w:tcW w:w="0" w:type="dxa"/>
            <w:vAlign w:val="bottom"/>
          </w:tcPr>
          <w:p>
            <w:pPr>
              <w:spacing w:after="0"/>
              <w:rPr>
                <w:sz w:val="1"/>
                <w:szCs w:val="1"/>
                <w:color w:val="auto"/>
              </w:rPr>
            </w:pPr>
          </w:p>
        </w:tc>
      </w:tr>
      <w:tr>
        <w:trPr>
          <w:trHeight w:val="198"/>
        </w:trPr>
        <w:tc>
          <w:tcPr>
            <w:tcW w:w="4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Conversion of related party liability to shareholders’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1,109,245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17,745</w:t>
            </w:r>
          </w:p>
        </w:tc>
        <w:tc>
          <w:tcPr>
            <w:tcW w:w="13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17,748</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for the year</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(43,815)</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(43,815)</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320" w:type="dxa"/>
            <w:vAlign w:val="bottom"/>
            <w:vMerge w:val="continue"/>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46,100,173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315,031</w:t>
            </w:r>
          </w:p>
        </w:tc>
        <w:tc>
          <w:tcPr>
            <w:tcW w:w="13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(84,416</w:t>
            </w:r>
          </w:p>
        </w:tc>
        <w:tc>
          <w:tcPr>
            <w:tcW w:w="220" w:type="dxa"/>
            <w:vAlign w:val="bottom"/>
            <w:vMerge w:val="continue"/>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DURING 2021:</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ordinary shares upon exercise of warrants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780,920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13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198"/>
        </w:trPr>
        <w:tc>
          <w:tcPr>
            <w:tcW w:w="4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ordinary shares to employees and non-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employees upon exercise of 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1,099,946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3,330</w:t>
            </w:r>
          </w:p>
        </w:tc>
        <w:tc>
          <w:tcPr>
            <w:tcW w:w="13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ordinary shares due to business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combination and assets acquisition (refer to Note 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3,810,402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101,497</w:t>
            </w:r>
          </w:p>
        </w:tc>
        <w:tc>
          <w:tcPr>
            <w:tcW w:w="13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18,697</w:t>
            </w:r>
          </w:p>
        </w:tc>
        <w:tc>
          <w:tcPr>
            <w:tcW w:w="13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18,697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from available-for-sale securities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(607)</w:t>
            </w:r>
          </w:p>
        </w:tc>
        <w:tc>
          <w:tcPr>
            <w:tcW w:w="13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9"/>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for the year</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(61,798)</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(61,798)</w:t>
            </w:r>
          </w:p>
        </w:tc>
        <w:tc>
          <w:tcPr>
            <w:tcW w:w="0" w:type="dxa"/>
            <w:vAlign w:val="bottom"/>
          </w:tcPr>
          <w:p>
            <w:pPr>
              <w:spacing w:after="0"/>
              <w:rPr>
                <w:sz w:val="1"/>
                <w:szCs w:val="1"/>
                <w:color w:val="auto"/>
              </w:rPr>
            </w:pPr>
          </w:p>
        </w:tc>
      </w:tr>
      <w:tr>
        <w:trPr>
          <w:trHeight w:val="27"/>
        </w:trPr>
        <w:tc>
          <w:tcPr>
            <w:tcW w:w="4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vMerge w:val="continue"/>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51,791,441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438,820</w:t>
            </w:r>
          </w:p>
        </w:tc>
        <w:tc>
          <w:tcPr>
            <w:tcW w:w="10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(146,214</w:t>
            </w:r>
          </w:p>
        </w:tc>
        <w:tc>
          <w:tcPr>
            <w:tcW w:w="220" w:type="dxa"/>
            <w:vAlign w:val="bottom"/>
            <w:vMerge w:val="continue"/>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292,148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CHANGES DURING 2022:</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3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ordinary shares upon exercise of warrants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192,927</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w:t>
            </w:r>
          </w:p>
        </w:tc>
        <w:tc>
          <w:tcPr>
            <w:tcW w:w="13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198"/>
        </w:trPr>
        <w:tc>
          <w:tcPr>
            <w:tcW w:w="4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ordinary shares to employees and non-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employees upon exercise of 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372,159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578</w:t>
            </w:r>
          </w:p>
        </w:tc>
        <w:tc>
          <w:tcPr>
            <w:tcW w:w="13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198"/>
        </w:trPr>
        <w:tc>
          <w:tcPr>
            <w:tcW w:w="43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ordinary shares in connection with</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earnout liability. (refer to Note 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89,286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953</w:t>
            </w:r>
          </w:p>
        </w:tc>
        <w:tc>
          <w:tcPr>
            <w:tcW w:w="13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198"/>
        </w:trPr>
        <w:tc>
          <w:tcPr>
            <w:tcW w:w="4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ordinary shares under settlement agreement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with former shareholders of Nanox AI Ltd. (refer to</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 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2,648,424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18,610</w:t>
            </w:r>
          </w:p>
        </w:tc>
        <w:tc>
          <w:tcPr>
            <w:tcW w:w="13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18,617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18,623</w:t>
            </w:r>
          </w:p>
        </w:tc>
        <w:tc>
          <w:tcPr>
            <w:tcW w:w="13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18,623</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from available-for-sale securities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(1,367)</w:t>
            </w: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for the year</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(113,243)</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(113,243)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vMerge w:val="restart"/>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vMerge w:val="continue"/>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55,094,237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477,953</w:t>
            </w:r>
          </w:p>
        </w:tc>
        <w:tc>
          <w:tcPr>
            <w:tcW w:w="10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4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(259,457</w:t>
            </w:r>
          </w:p>
        </w:tc>
        <w:tc>
          <w:tcPr>
            <w:tcW w:w="22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thousand US dollars.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8" w:name="page139"/>
    <w:bookmarkEnd w:id="138"/>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98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298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for the year</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(113,243)</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(61,798)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required to reconcile net loss to net cash used in operating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18,623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18,806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24,781</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10,607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1,768</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goodwill</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50,878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contingent earnout liability</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(20,376)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905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(3,733)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Exchange rate differentials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premium, discount and accrued interest on marketable securities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1,398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businesses acquired: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1,235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1,724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(800)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469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1,721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10,410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(719)</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2,359</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assets and liabilities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250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233</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(43,385</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(38,061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(21,609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business combinations, net of cash and restricted cash acquired</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(2,859)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31,241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10,986</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(8,454)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(104,043)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2,754</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(7,171)</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(23,158)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(13,937)</w:t>
            </w: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(1,010)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 term loan</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3,796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ordinary shares and warrants, net of issuance costs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71,013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initial public offering of ordinary shares, net of issuance costs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169,348</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financial liability</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ordinary shares upon exercise of warrants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370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630</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ordinary shares to employees and non-employees upon exercise of options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579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3,316</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ectPr>
          <w:pgSz w:w="11900" w:h="16900" w:orient="portrait"/>
          <w:cols w:equalWidth="0" w:num="1">
            <w:col w:w="11240"/>
          </w:cols>
          <w:pgMar w:left="320" w:top="873" w:right="339" w:bottom="0" w:gutter="0" w:footer="0" w:header="0"/>
        </w:sectPr>
      </w:pPr>
    </w:p>
    <w:p>
      <w:pPr>
        <w:ind w:left="180" w:right="200" w:hanging="161"/>
        <w:spacing w:after="0" w:line="266" w:lineRule="auto"/>
        <w:rPr>
          <w:sz w:val="20"/>
          <w:szCs w:val="20"/>
          <w:color w:val="auto"/>
        </w:rPr>
      </w:pPr>
      <w:r>
        <w:rPr>
          <w:rFonts w:ascii="Times New Roman" w:cs="Times New Roman" w:eastAsia="Times New Roman" w:hAnsi="Times New Roman"/>
          <w:sz w:val="18"/>
          <w:szCs w:val="18"/>
          <w:b w:val="1"/>
          <w:bCs w:val="1"/>
          <w:color w:val="auto"/>
        </w:rPr>
        <w:t>EFFECT OF CHANGES IN EXCHANGE RATES ON CASH BALANCES IN FOREIGN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291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 AND RESTRICTED CASH</w:t>
      </w:r>
    </w:p>
    <w:p>
      <w:pPr>
        <w:spacing w:after="0" w:line="77" w:lineRule="exact"/>
        <w:rPr>
          <w:sz w:val="20"/>
          <w:szCs w:val="20"/>
          <w:color w:val="auto"/>
        </w:rPr>
      </w:pPr>
    </w:p>
    <w:p>
      <w:pPr>
        <w:ind w:left="18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CASH AND CASH EQUIVALENTS AND RESTRICTED CASH AT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316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 THE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(268)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50"/>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(28,243</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(147,012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205,567</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39"/>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66,772</w:t>
            </w:r>
          </w:p>
        </w:tc>
        <w:tc>
          <w:tcPr>
            <w:tcW w:w="240" w:type="dxa"/>
            <w:vAlign w:val="bottom"/>
          </w:tcPr>
          <w:p>
            <w:pPr>
              <w:spacing w:after="0"/>
              <w:rPr>
                <w:sz w:val="24"/>
                <w:szCs w:val="24"/>
                <w:color w:val="auto"/>
              </w:rPr>
            </w:pP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213,784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38,529</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66,772</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213,784</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900" w:orient="portrait"/>
          <w:cols w:equalWidth="0" w:num="2">
            <w:col w:w="7120" w:space="200"/>
            <w:col w:w="3920"/>
          </w:cols>
          <w:pgMar w:left="320" w:top="873" w:right="339" w:bottom="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INFORMATION ON ACTIVITIES INVOLVING CASH FLOWS: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vMerge w:val="continue"/>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SUPPLEMENTARY INFORMATION ON ACTIVITIES NOT INVOLVING CASH</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FLOWS: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ordinary shares to investor upon exercise of warrants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 ordinary shares issued as consideration for purchase of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2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Fair value of ordinary shares issued as consideration for business combinations and achievement of</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32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milestones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73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873" w:right="339" w:bottom="0" w:gutter="0" w:footer="0" w:header="0"/>
          <w:type w:val="continuous"/>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ordinary shares in connection with earnout liability.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Issuance of ordinary shares under settlement agreement with former shareholders of Nanox AI Ltd.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vMerge w:val="continue"/>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18,617</w:t>
            </w:r>
          </w:p>
        </w:tc>
        <w:tc>
          <w:tcPr>
            <w:tcW w:w="2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 contingent consideration assumed in business combinations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47,194</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Fair value of contingent consideration assumed in purchase of assets</w:t>
            </w:r>
          </w:p>
        </w:tc>
        <w:tc>
          <w:tcPr>
            <w:tcW w:w="13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vMerge w:val="continue"/>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Operating lease liabilities arising from obtaining operating right-of use assets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Conversion of related party liability to shareholders’ equity</w:t>
            </w:r>
          </w:p>
        </w:tc>
        <w:tc>
          <w:tcPr>
            <w:tcW w:w="13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thousand US dollars.</w:t>
      </w:r>
    </w:p>
    <w:p>
      <w:pPr>
        <w:spacing w:after="0" w:line="12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9" w:lineRule="exact"/>
        <w:rPr>
          <w:sz w:val="20"/>
          <w:szCs w:val="20"/>
          <w:color w:val="auto"/>
        </w:rPr>
      </w:pPr>
    </w:p>
    <w:p>
      <w:pPr>
        <w:ind w:left="1300" w:hanging="320"/>
        <w:spacing w:after="0" w:line="282" w:lineRule="auto"/>
        <w:tabs>
          <w:tab w:leader="none" w:pos="13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Nano-X Imaging Ltd, an Israeli Company (hereinafter “the Company” or “Nanox IL”), was incorporated on December 20, 2018 and commenced its operations on September 3, 2019.</w:t>
      </w:r>
    </w:p>
    <w:p>
      <w:pPr>
        <w:spacing w:after="0" w:line="161" w:lineRule="exact"/>
        <w:rPr>
          <w:rFonts w:ascii="Times New Roman" w:cs="Times New Roman" w:eastAsia="Times New Roman" w:hAnsi="Times New Roman"/>
          <w:sz w:val="18"/>
          <w:szCs w:val="18"/>
          <w:b w:val="1"/>
          <w:bCs w:val="1"/>
          <w:color w:val="auto"/>
        </w:rPr>
      </w:pPr>
    </w:p>
    <w:p>
      <w:pPr>
        <w:jc w:val="both"/>
        <w:ind w:left="1300" w:right="320"/>
        <w:spacing w:after="0" w:line="53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September 19, 2019, Nanox IL established Nanox Imaging Inc. (hereinafter “Nanox Japan”), a wholly owned subsidiary in Japan. On September 25, 2020, Nanox IL established Nano-X Korea Inc. (hereinafter “Nanox Korea”), a wholly owned subsidiary in Korea.</w:t>
      </w:r>
    </w:p>
    <w:p>
      <w:pPr>
        <w:ind w:left="13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30, 2021, Nanox IL established Nanox Imaging Inc. (hereinafter “Nanox U.S.”), a wholly owned subsidiary in the United States. On the same date, Nanox U.S. established Nanox MDW Inc. (hereinafter “Nanox MDW”).</w:t>
      </w:r>
    </w:p>
    <w:p>
      <w:pPr>
        <w:spacing w:after="0" w:line="161" w:lineRule="exact"/>
        <w:rPr>
          <w:rFonts w:ascii="Times New Roman" w:cs="Times New Roman" w:eastAsia="Times New Roman" w:hAnsi="Times New Roman"/>
          <w:sz w:val="18"/>
          <w:szCs w:val="18"/>
          <w:b w:val="1"/>
          <w:bCs w:val="1"/>
          <w:color w:val="auto"/>
        </w:rPr>
      </w:pPr>
    </w:p>
    <w:p>
      <w:pPr>
        <w:ind w:left="1300" w:right="58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 2021, Nanox U.S. completed the acquisition of 100% of the shares of USARAD Holdings, Inc. (refer to Note 3). On November 4, 2021, the Company completed the merger with Zebra Medical Vision Ltd (refer to Note 3).</w:t>
      </w:r>
    </w:p>
    <w:p>
      <w:pPr>
        <w:spacing w:after="0" w:line="1" w:lineRule="exact"/>
        <w:rPr>
          <w:rFonts w:ascii="Times New Roman" w:cs="Times New Roman" w:eastAsia="Times New Roman" w:hAnsi="Times New Roman"/>
          <w:sz w:val="18"/>
          <w:szCs w:val="18"/>
          <w:b w:val="1"/>
          <w:bCs w:val="1"/>
          <w:color w:val="auto"/>
        </w:rPr>
      </w:pPr>
    </w:p>
    <w:p>
      <w:pPr>
        <w:jc w:val="both"/>
        <w:ind w:left="13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together with its subsidiaries, develops a commercial-grade tomographic imaging device with a digital X-ray source, provides teleradiology services and develops artificial intelligence applications designed to be used in real-world medical imaging applications. The Company’s solution, referred to as the Nanox Multi Source System, has two integrated components – “Nanox.ARC” and “Nanox. CLOUD”. Nanox.ARC is a medical tomographic imaging system incorporating the Company’s novel digital X-ray source. Nanox. CLOUD is a platform which employs a matching engine to match medical images to radiologists, provides image repository, connectivity to diagnostic assistive AI systems, billing and reporting. On April 1, 2021, the Company received clearance from the FDA to market the Company’s Nanox Cart X-Ray System. On September 26, 2022, the Company submitted a 510(k) premarket notification to the U.S. Food and Drug Administration as part of the Company’s 510(k) application process for the multi-source Nanox.ARC system.</w:t>
      </w:r>
    </w:p>
    <w:p>
      <w:pPr>
        <w:spacing w:after="0" w:line="191"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experienced net losses and negative cash flows from operations since its inception. The Company anticipates such losses will continue until its product candidates reach commercial profitability. In August 2020, the Company completed an IPO and its ordinary shares began to trade on Nasdaq with net proceeds received from the IPO of approximately $169 million. Based on the Company’s activities during the year ended December 31, 2022, the Company has sufficient funds for its plans for the next twelve months from the issuance of these financial statements.</w:t>
      </w:r>
    </w:p>
    <w:p>
      <w:pPr>
        <w:spacing w:after="0" w:line="183"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Impact of geopolitical tensions and the start of the military conflict between Russia and Ukraine</w:t>
      </w:r>
    </w:p>
    <w:p>
      <w:pPr>
        <w:spacing w:after="0" w:line="225" w:lineRule="exact"/>
        <w:rPr>
          <w:rFonts w:ascii="Times New Roman" w:cs="Times New Roman" w:eastAsia="Times New Roman" w:hAnsi="Times New Roman"/>
          <w:sz w:val="18"/>
          <w:szCs w:val="18"/>
          <w:b w:val="1"/>
          <w:bCs w:val="1"/>
          <w:color w:val="auto"/>
        </w:rPr>
      </w:pPr>
    </w:p>
    <w:p>
      <w:pPr>
        <w:jc w:val="both"/>
        <w:ind w:left="13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 and global economies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ongoing conflict in Ukraine could lead to market disruptions, including significant volatility in commodity prices, credit and capital markets. As a result, sanctions and penalties have been levied by the United States, European Union and other countries against Russia. Russian military actions and the resulting sanctions could have a negative impact on supply chains, the Company’s MSaaS agreements relating to Russia and Belarus or the region and adversely affect the global economy and financial markets. Any of the abovementioned factors could affect the Company’s business, prospects, financial condition, and operating results. The extent and duration of the military action, sanctions and resulting market disruptions are impossible to predict, but could be substantial.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GENERAL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1300" w:hanging="320"/>
        <w:spacing w:after="0"/>
        <w:tabs>
          <w:tab w:leader="none" w:pos="130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Impact of the current financial markets and economic conditions</w:t>
      </w:r>
    </w:p>
    <w:p>
      <w:pPr>
        <w:spacing w:after="0" w:line="225" w:lineRule="exact"/>
        <w:rPr>
          <w:rFonts w:ascii="Times New Roman" w:cs="Times New Roman" w:eastAsia="Times New Roman" w:hAnsi="Times New Roman"/>
          <w:sz w:val="18"/>
          <w:szCs w:val="18"/>
          <w:b w:val="1"/>
          <w:bCs w:val="1"/>
          <w:color w:val="auto"/>
        </w:rPr>
      </w:pPr>
    </w:p>
    <w:p>
      <w:pPr>
        <w:jc w:val="both"/>
        <w:ind w:left="13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business may materially be affected by conditions in the financial markets and economic conditions in the U.S., Europe, Asia and, to a lesser extent, elsewhere in the world. 2022 was characterized by steep declines and significant volatility in global markets, driven by investor concerns over inflation, rising interest rates, slowing economic growth and geopolitical uncertainty. Inflation across many key economies reached generational highs, prompting central banks to take monetary policy tightening actions that are likely to create headwinds to economic growth. Continued global supply chain disruption, including due to China’s recurrent restrictions and the ongoing war between Russia and Ukraine, are also contributing to mounting inflationary pressure. In 2022, in the U.S., annual inflation rose to the highest level in over 40 years. Concurrently, Europe experienced high year-over-year inflation. In response to rising inflation, the Federal Reserve raised the federal funds target range and the European Central Bank raised rates for the first time in 11 years. Both central banks reiterated expectations for additional increases in the coming months. While several key economic factors, including employment, wage growth and household savings, have demonstrated resilience, the U.S. economic contraction in 2022 has opened a debate among economists as to whether the U.S. has entered, or in the near term will enter, a recession.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1300" w:hanging="320"/>
        <w:spacing w:after="0"/>
        <w:tabs>
          <w:tab w:leader="none" w:pos="13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jc w:val="both"/>
        <w:ind w:left="130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consolidated financial statements are prepared in accordance with generally accepted accounting principles in the United States (hereinafter,“U.S GAAP”) and include the accounts of the Company and of all its wholly owned subsidiaries. Intercompany accounts and transactions have been eliminated in consolidation.</w:t>
      </w:r>
    </w:p>
    <w:p>
      <w:pPr>
        <w:spacing w:after="0" w:line="171"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Actual results may differ from those estimates and such differences may have a material impact on the Company’s consolidated financial statements. As applicable to these consolidated financial statements, the most significant estimates relate to goodwill impairment, fair-value of contingent earnout liability, useful lives of intangible assets, deferred taxes and share-based payments. The Company bases its estimates on historical experience, known trends and events and various other factors that the Company believes are reasonable under the circumstances, the results of which form the basis for making judgments about the carrying values of assets and liabilities that are not readily apparent from other sources. The Company evaluates its estimates and assumptions on an ongoing basis. The Company’s actual results may differ from these estimates under different assumptions or conditions.</w:t>
      </w:r>
    </w:p>
    <w:p>
      <w:pPr>
        <w:spacing w:after="0" w:line="190"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currency</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U.S. dollar is the currency of the primary economic environment in which the operations of the Company and its subsidiaries are conducted. A substantial portion of the revenue and operational costs are denominated in U.S. dollars. Accordingly, the functional currency of the Company is the U.S. dollar (“primary currency”). Transactions and balances originally denominated in dollars are presented at their original amounts. Balances in foreign currencies are translated into the primary currency using historical and current exchange rates for nonmonetary and monetary balances, respectively. For foreign transactions and other items reflected in the statements of operations, the following exchange rates are used: (1) for transactions – exchange rates at transaction dates or average rates and (2) for other items (derived from nonmonetary balance sheet items such as depreciation) – historical exchange rates. The resulting transaction gains or losses are recorded as financial income or expenses.</w:t>
      </w:r>
    </w:p>
    <w:p>
      <w:pPr>
        <w:spacing w:after="0" w:line="187"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allocates the fair value of consideration transferred in a business combination to the assets acquired, liabilities assumed, and non-controlling interests in the acquired business based on their fair values at the acquisition date. Acquisition-related expenses are recognized separately from the business combination and are expensed as incurred. The excess of the fair value of the consideration transferred plus the fair value of any non-controlling interest in the acquiree over the fair value of the assets acquired, liabilities assumed in the acquired business is recorded as goodwill. The fair value of the consideration transferred may include a combination of cash, equity securities, earn out payments and deferred payments. The allocation of the consideration transferred in certain cases may be subject to revision based on the final determination of fair values during the measurement period, which may be up to one year from the acquisition date. The cumulative impact of revisions during the measurement period is recognized in the reporting period in which the revisions are identified. The Company includes the results of operations of the businesses that it has acquired in its consolidated results prospectively from the respective dates of acquisition.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17"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Company records obligations in connection with its business combinations at fair value on the acquisition date. Each reporting period thereafter, the Company revalues earn-out liabilities and records the changes in their fair value in the consolidated statements of operations and comprehensive loss.</w:t>
      </w:r>
    </w:p>
    <w:p>
      <w:pPr>
        <w:spacing w:after="0" w:line="176"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Changes in the fair value of earn-out liabilities can result from adjustments to the discount rates, the Company’s shares price, sales and profitability targets. This fair value measurement represent Level 3 measurements, as they are based on significant inputs not observable in the market. Significant judgment is required in determining the assumptions utilized as of the acquisition date and for each subsequent period. Accordingly, changes in the assumptions described above could have a material impact on the Company’s consolidated results of operations.</w:t>
      </w:r>
    </w:p>
    <w:p>
      <w:pPr>
        <w:spacing w:after="0" w:line="179" w:lineRule="exact"/>
        <w:rPr>
          <w:sz w:val="20"/>
          <w:szCs w:val="20"/>
          <w:color w:val="auto"/>
        </w:rPr>
      </w:pPr>
    </w:p>
    <w:p>
      <w:pPr>
        <w:ind w:left="1300" w:hanging="320"/>
        <w:spacing w:after="0"/>
        <w:tabs>
          <w:tab w:leader="none" w:pos="13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considers as cash equivalents all short-term, highly liquid investments, which include short-term bank deposits with original maturities of three months or less from the date of purchase that are not restricted as to withdrawal or use and are readily convertible to known amounts of cash.</w:t>
      </w:r>
    </w:p>
    <w:p>
      <w:pPr>
        <w:spacing w:after="0" w:line="171"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highly liquid investments are classified as marketable securities and have been classified and accounted for as available-for-sale. Investment in securities consists of debt securities classified as available-for-sale and recorded at fair value. The Company classifies its marketable securities as either short-term or long-term based on each instrument’s underlying contractual maturity date. Unrealized gains and losses on marketable debt securities classified as available-for-sale are reported net of the related tax effect in other comprehensive income/(loss).</w:t>
      </w:r>
    </w:p>
    <w:p>
      <w:pPr>
        <w:spacing w:after="0" w:line="179"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are presented net of the allowance for expected credit loss and consists of short term receivables that arise in the normal course of business. The Company performs ongoing credit evaluations of its customers’ financial condition and typically requires no collateral from its customers.</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adopted the Current Expected Credit Losses (“CECL”) guidance effective January 1, 2020. The Company maintains the allowance for estimated losses resulting from the inability of the Company’s customers to make required payments. The allowance represents the current estimate of lifetime expected credit losses over the remaining duration of existing accounts receivable considering current market conditions and supportable forecasts when appropriate. The estimate is a result of the Company’s ongoing evaluation of collectability, customer creditworthiness, historical levels of credit losses, and future expectations.</w:t>
      </w:r>
    </w:p>
    <w:p>
      <w:pPr>
        <w:spacing w:after="0" w:line="183" w:lineRule="exact"/>
        <w:rPr>
          <w:rFonts w:ascii="Times New Roman" w:cs="Times New Roman" w:eastAsia="Times New Roman" w:hAnsi="Times New Roman"/>
          <w:sz w:val="18"/>
          <w:szCs w:val="18"/>
          <w:b w:val="1"/>
          <w:bCs w:val="1"/>
          <w:color w:val="auto"/>
        </w:rPr>
      </w:pPr>
    </w:p>
    <w:p>
      <w:pPr>
        <w:ind w:left="13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allowance for credit losses are recognized in general and administrative expenses. Accounts receivables are written-off against the allowance for credit losses when management deems the accounts are no longer collectible.</w:t>
      </w:r>
    </w:p>
    <w:p>
      <w:pPr>
        <w:spacing w:after="0" w:line="157"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are stated at cost, net of accumulated depreciation. Depreciation is calculated on a straight-line basis over the following estimated useful lives: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Years</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electronic equipment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lab equipment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machinery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98"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Leasehold improvements are amortized over the terms of the respective leases or the estimated useful lives of the improvements, whichever is shorter.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300" w:right="8340" w:hanging="320"/>
        <w:spacing w:after="0" w:line="503" w:lineRule="auto"/>
        <w:tabs>
          <w:tab w:leader="none" w:pos="130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Intangible Assets, net Goodwill</w:t>
      </w:r>
    </w:p>
    <w:p>
      <w:pPr>
        <w:jc w:val="both"/>
        <w:ind w:left="130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reflects the excess of the consideration transferred plus the fair value of any non-controlling interest in the acquiree at the business combination date over the fair values of the identifiable net assets acquired. Goodwill is an asset representing the future economic benefits arising from other assets acquired in a business combination that are not individually identified and separately recognized. The Company allocates goodwill to its reporting units based on the reporting unit expected to benefit from the business combination. The primary items that generate goodwill include the value of the synergies between the acquired companies and the Company and the acquired assembled workforce, neither of which qualifies for recognition as an intangible asset. ASC 350 allows an entity to first assess qualitative factors to determine whether a quantitative goodwill impairment test is necessary. Further testing is only required if the entity determines, based on the qualitative assessment, that it is more likely than not that a reporting unit’s fair value is less than its carrying amount. Otherwise, no further impairment testing is required. Examples of events or circumstances that may be indicative of impairment include but are not limited to: macroeconomic and industry conditions, overall financial performance and adverse changes in legal, regulatory, market share and other relevant entity specific events. An entity has the option to bypass the qualitative assessment for any reporting unit in any period and proceed directly to the quantitative goodwill impairment test. This would not preclude the entity from performing the qualitative assessment in any subsequent period. The quantitative assessment compares the fair value of the reporting unit to its carrying value, including goodwill.</w:t>
      </w:r>
    </w:p>
    <w:p>
      <w:pPr>
        <w:spacing w:after="0" w:line="197"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determines the fair value of its reporting units using a discounted cash flow model, which utilizes key assumptions such as projected revenues, cost of revenues and operating expenses. These assumptions are determined by the Company’s management utilizing its internal operating plan, growth rates for revenues and operating expenses and margin assumptions. An additional key assumption under this approach is the discount rate, based on the weighted average cost of capital, which is adjusted for current risk-free rates of capital, current market interest rates, and the evaluation of a risk premium relevant to the business segment.</w:t>
      </w:r>
    </w:p>
    <w:p>
      <w:pPr>
        <w:spacing w:after="0" w:line="183" w:lineRule="exact"/>
        <w:rPr>
          <w:rFonts w:ascii="Times New Roman" w:cs="Times New Roman" w:eastAsia="Times New Roman" w:hAnsi="Times New Roman"/>
          <w:sz w:val="18"/>
          <w:szCs w:val="18"/>
          <w:b w:val="1"/>
          <w:bCs w:val="1"/>
          <w:color w:val="auto"/>
        </w:rPr>
      </w:pPr>
    </w:p>
    <w:p>
      <w:pPr>
        <w:jc w:val="both"/>
        <w:ind w:left="13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Company’s assumptions relative to revenue growth rates, cost of revenues and operating expenses were to change, the Company’s fair value calculation may change, which could result in impairment. If the Company’s assumptions relative to the discount rate and the evaluation of risk premium growth rates were to change, the Company’s fair value calculation may change, which could result in impairment. The Company uses the income approach to determine the fair value of the reporting units because it considers the anticipated future financial performance of the reporting units. Accordingly, changes in the assumptions described above could have a material impact on the Company’s consolidated results of operations.</w:t>
      </w:r>
    </w:p>
    <w:p>
      <w:pPr>
        <w:spacing w:after="0" w:line="187"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goodwill is tested for impairment at least on an annual basis, on the last day of the fourth quarter of the fiscal year and whenever events or changes in circumstances indicate the carrying value of a reporting unit may not be recoverable. When necessary, the Company records charges for impairments of goodwill for the amount by which the carrying amount of the respective reporting unit exceeds its fair value. However, the loss recognized should not exceed the total amount of goodwill allocated to that reporting unit.</w:t>
      </w:r>
    </w:p>
    <w:p>
      <w:pPr>
        <w:spacing w:after="0" w:line="17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goodwill is assigned to the reporting units of the AI Solutions segment (which was recorded in the acquisition of Nanox AI) and the Radiology Services segment (which was recorded in the acquisition of USARAD). The carrying value of each reporting unit is determined by assigning the assets and liabilities, including the existing goodwill, to those reporting units.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did not determine that it was more likely that not that the fair value of each reporting unit was less than its carrying amount. During 2022, the Company recognized a goodwill impairment of $50,878 thousand. See note 4.</w:t>
      </w:r>
    </w:p>
    <w:p>
      <w:pPr>
        <w:spacing w:after="0" w:line="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p>
      <w:pPr>
        <w:spacing w:after="0" w:line="162" w:lineRule="exact"/>
        <w:rPr>
          <w:sz w:val="20"/>
          <w:szCs w:val="20"/>
          <w:color w:val="auto"/>
        </w:rPr>
      </w:pPr>
    </w:p>
    <w:p>
      <w:pPr>
        <w:jc w:val="both"/>
        <w:ind w:left="1300" w:right="20"/>
        <w:spacing w:after="0" w:line="261" w:lineRule="auto"/>
        <w:rPr>
          <w:sz w:val="20"/>
          <w:szCs w:val="20"/>
          <w:color w:val="auto"/>
        </w:rPr>
      </w:pPr>
      <w:r>
        <w:rPr>
          <w:rFonts w:ascii="Times New Roman" w:cs="Times New Roman" w:eastAsia="Times New Roman" w:hAnsi="Times New Roman"/>
          <w:sz w:val="18"/>
          <w:szCs w:val="18"/>
          <w:color w:val="auto"/>
        </w:rPr>
        <w:t>Definite life intangible assets are amortized using the straight-line method over their estimated period of useful life. Amortization of radiologist relationships, market platform, developed technology and image big data are recorded under cost of revenues. Amortization of trade names and customer relationships are recorded under sales and marketing expenses. In addition, the remaining amortization period for the impaired asset would be reassessed and, if necessary, revised.</w:t>
      </w:r>
    </w:p>
    <w:p>
      <w:pPr>
        <w:spacing w:after="0" w:line="108" w:lineRule="exact"/>
        <w:rPr>
          <w:sz w:val="20"/>
          <w:szCs w:val="20"/>
          <w:color w:val="auto"/>
        </w:rPr>
      </w:pPr>
    </w:p>
    <w:p>
      <w:pPr>
        <w:ind w:left="1300" w:hanging="320"/>
        <w:spacing w:after="0"/>
        <w:tabs>
          <w:tab w:leader="none" w:pos="130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long-lived assets, such as property, plant and equipment and identifiable intangible assets are reviewed for potential impairment whenever events or changes in circumstances indicate that the carrying amount of an asset may not be recoverable. Impairment indicators which could trigger an impairment may include, among others, any significant changes in the manner of the Company’s use of the assets or the strategy of the Company’s overall business, certain reorganization initiatives, significant negative industry or economic trends or when the Company concludes that it is more likely than not that an asset will be disposed of or sold. The recoverability of assets to be held and used is measured by a comparison of the carrying amount of an asset to the future undiscounted cash flows expected to be generated by such assets. If such assets are considered to be impaired, the impairment to be recognized is measured by the amount by which the carrying amount of the assets exceeds the fair value of the assets. This measurement includes significant estimates and assumptions inherent in the estimate of the fair value of identifiable intangible assets such as assumptions associated with forecasting profitability, including operational margins and capital expenditures.. Newly acquired and recently impaired long-lived assets are more vulnerable to impairment as the assets are recorded at fair value and are then subsequently measured at the lower of fair value or carrying value annually or when triggering events are present. As such, immediately after acquisition or impairment, even small declines in the outlook for these assets can negatively impact our ability to recover the carrying value and can result in an impairment charge. Accordingly, changes in the assumptions described above could have a material impact on our consolidated results of operations. An impairment charge in the amount of $172 thousand and $214 thousand was recorded for the years ended December 31, 2022 and 2021, respectively, in relation to the Company’s Property, Plant and Equipment. During the year ended December 31, 2020, the Company did not record any impairment charges related to the Company’s Property, Plant and Equipment. During 2022, 2021 and 2020, the Company did not record any impairment charge related to its definite life intangible assets.</w:t>
      </w:r>
    </w:p>
    <w:p>
      <w:pPr>
        <w:spacing w:after="0" w:line="187"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Equity Securities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investment in equity securities consists of non-marketable equity securities, which is an investment in a privately held company. The Company’s equity investment does not have a readily determinable fair value. The investment is measured as cost method investment under the measurement alternative prescribed within ASU 2016-01 “Financial Instruments—Recognition and Measurement of Financial Assets and Financial Liabilities” to the extent such an investment is not subject to consolidation or the equity method. In February 2022, the Company purchased 67,000 common shares of a privately held company for an amount of $1,010 thousand.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300" w:hanging="320"/>
        <w:spacing w:after="0"/>
        <w:tabs>
          <w:tab w:leader="none" w:pos="130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Severance pay</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Israeli labor law generally requires severance pay be granted upon dismissal of an employee or upon termination of employment under certain other circumstances. Pursuant to Section 14 of the Severance Compensation Act, 1963 (“Section 14”), all of the Company’s employees in Israel are entitled to monthly deposits, at a rate of 8.33% of their monthly salary, made in their name with insurance companies. Payments under Section 14 relieve the Company from any future severance payment obligation with respect to those employees and, as such, the Company may only utilize the insurance policies for the purpose of disbursement of severance pay. As a result, the Company does not recognize an asset nor liability for these employees.</w:t>
      </w:r>
    </w:p>
    <w:p>
      <w:pPr>
        <w:spacing w:after="0" w:line="187"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2022 and 2021, all of the employees of the Company and its subsidiary in Israel are subject to Section 14 of the Severance Law. Severance pay expenses for 2022, 2021 and 2020 amounted to $1,251 thousand, $846 thousand and $212 thousand, respectively.</w:t>
      </w:r>
    </w:p>
    <w:p>
      <w:pPr>
        <w:spacing w:after="0" w:line="157"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and other contingencies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conditions, such as legal proceedings, may exist as of the date the consolidated financial statements are issued that may result in a loss to the Company, but that will only be resolved when one or more future events occur or fail to occur. In assessing loss contingencies related to legal proceedings that are pending against the Company or unasserted claims that may result in such proceedings, the Company’s management evaluates with its legal advisors the perceived merits of any legal proceedings or unasserted claims as well as the perceived merits of the amount of relief sought or expected to be sought. Such assessment inherently involves an exercise of judgment. Legal fees are expensed as incurred. Litigation outcomes and contingencies are unpredictable and excessive verdicts can occur. Therefore, the Company’s assessments involve complex judgments concerning future events and often rely heavily on estimates and assumptions. The Company applies the guidance in ASC 450-20-25 when assessing losses resulting from contingencies. The Company reviews the adequacy of the accruals on a periodic basis and may determine to alter its reserves at any time in the future if the Company believes it would be appropriate to do so. As such accruals are based on management’s judgment as to the probability of losses and, where applicable, actuarially determined estimates, accruals may materially differ from actual verdicts, settlements or other agreements made with regards to such contingencies. If the assessment of a contingency indicates that it is probable that a material loss would be incurred and the amount of the liability can be estimated, then the Company records an accrued expense in the Company’s consolidated financial statements based on its best estimate. Loss contingencies considered to be remote by management are generally not disclosed unless material. For additional information, see note 11.</w:t>
      </w:r>
    </w:p>
    <w:p>
      <w:pPr>
        <w:spacing w:after="0" w:line="191"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majority of the Company’s revenues are derived from radiology service fees received from various payors based on established billing rates. Revenues are derived directly from hospitals and healthcare providers. The Company recognizes revenue in the period in which the performance obligation is satisfied. The Company records the amount of revenue that reflects the consideration that it expects to receive in exchange for those services. The Company applies the following five-step model in order to determine this amount:</w:t>
      </w:r>
    </w:p>
    <w:p>
      <w:pPr>
        <w:spacing w:after="0" w:line="2" w:lineRule="exact"/>
        <w:rPr>
          <w:rFonts w:ascii="Times New Roman" w:cs="Times New Roman" w:eastAsia="Times New Roman" w:hAnsi="Times New Roman"/>
          <w:sz w:val="18"/>
          <w:szCs w:val="18"/>
          <w:b w:val="1"/>
          <w:bCs w:val="1"/>
          <w:color w:val="auto"/>
        </w:rPr>
      </w:pPr>
    </w:p>
    <w:p>
      <w:pPr>
        <w:jc w:val="both"/>
        <w:ind w:left="130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identification of the contract with a customer; (ii) identification of the promised services in the contract and determination of whether they represent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teleradiology services have one performance obligation where the Company acts as principal to its customers (imaging centers, hospitals, and other healthcare providers). Revenue is recognized at a point in time when such performance obligation is satisfied, specifically when the radiologist completes the reading and the annotation of the patient’s images. At large, payments are due at satisfaction of the Company’s performance obligation and after the Company issues an invoice. The Company’s teleradiology fees are fixed based on the type of modalities and agreed with its customers prior to rendering its services. Invoices are issued monthly for services rendered in the same month. Payments are due upon receipt of the invoice. The Company assesses collectability as part of the revenue recognition model. This assessment includes a number of factors such past due amounts, past payment history, and current economic conditions. If it is determined that collectability cannot be reasonably assured, the Company will not recognize the revenue until collectability is assured.</w:t>
      </w:r>
    </w:p>
    <w:p>
      <w:pPr>
        <w:spacing w:after="0" w:line="19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Company records deferred revenue for any upfront payments received in advance of the Company’s performance obligations being satisfied. These contract liabilities consist principally of unearned radiology service fees.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158" w:lineRule="exact"/>
        <w:rPr>
          <w:sz w:val="20"/>
          <w:szCs w:val="20"/>
          <w:color w:val="auto"/>
        </w:rPr>
      </w:pPr>
    </w:p>
    <w:p>
      <w:pPr>
        <w:ind w:left="1300" w:hanging="320"/>
        <w:spacing w:after="0"/>
        <w:tabs>
          <w:tab w:leader="none" w:pos="130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expenses</w:t>
      </w:r>
    </w:p>
    <w:p>
      <w:pPr>
        <w:spacing w:after="0" w:line="161" w:lineRule="exact"/>
        <w:rPr>
          <w:rFonts w:ascii="Times New Roman" w:cs="Times New Roman" w:eastAsia="Times New Roman" w:hAnsi="Times New Roman"/>
          <w:sz w:val="18"/>
          <w:szCs w:val="18"/>
          <w:b w:val="1"/>
          <w:bCs w:val="1"/>
          <w:color w:val="auto"/>
        </w:rPr>
      </w:pPr>
    </w:p>
    <w:p>
      <w:pPr>
        <w:ind w:left="13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Research and development expenses are charged to the statement of operations as incurred and consist primarily of personnel, materials and supplies for research and development activities.</w:t>
      </w:r>
    </w:p>
    <w:p>
      <w:pPr>
        <w:spacing w:after="0" w:line="90"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161" w:lineRule="exact"/>
        <w:rPr>
          <w:rFonts w:ascii="Times New Roman" w:cs="Times New Roman" w:eastAsia="Times New Roman" w:hAnsi="Times New Roman"/>
          <w:sz w:val="18"/>
          <w:szCs w:val="18"/>
          <w:b w:val="1"/>
          <w:bCs w:val="1"/>
          <w:color w:val="auto"/>
        </w:rPr>
      </w:pPr>
    </w:p>
    <w:p>
      <w:pPr>
        <w:jc w:val="both"/>
        <w:ind w:left="1620" w:hanging="316"/>
        <w:spacing w:after="0" w:line="255" w:lineRule="auto"/>
        <w:tabs>
          <w:tab w:leader="none" w:pos="16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income taxes in accordance with ASC 740, “Income Taxes” (“ASC 740”). ASC 740 prescribes the use of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 if it is more likely than not that a portion or all of the deferred tax assets will not be realized, based on the weight of available positive and negative evidence. Deferred tax liabilities and assets are classified as non-current in accordance with ASU 2015-17.</w:t>
      </w:r>
    </w:p>
    <w:p>
      <w:pPr>
        <w:spacing w:after="0" w:line="12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that would apply in the event of disposal of investments in foreign and domestic subsidiaries have not been taken into account in computing the deferred income taxes, as it is the Company’s intent and ability to hold these investments.</w:t>
      </w:r>
    </w:p>
    <w:p>
      <w:pPr>
        <w:spacing w:after="0" w:line="94" w:lineRule="exact"/>
        <w:rPr>
          <w:rFonts w:ascii="Times New Roman" w:cs="Times New Roman" w:eastAsia="Times New Roman" w:hAnsi="Times New Roman"/>
          <w:sz w:val="18"/>
          <w:szCs w:val="18"/>
          <w:color w:val="auto"/>
        </w:rPr>
      </w:pPr>
    </w:p>
    <w:p>
      <w:pPr>
        <w:jc w:val="both"/>
        <w:ind w:left="1620" w:hanging="316"/>
        <w:spacing w:after="0" w:line="255" w:lineRule="auto"/>
        <w:tabs>
          <w:tab w:leader="none" w:pos="16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uncertain tax positions in accordance with ASC 740-10. ASC 740-10 contains a two-step approach to recognizing and measuring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probability) likely to be realized upon ultimate settlement. The Company accrues interest and penalties related to unrecognized tax benefits under taxes on income (tax benefit).</w:t>
      </w:r>
    </w:p>
    <w:p>
      <w:pPr>
        <w:spacing w:after="0" w:line="121" w:lineRule="exact"/>
        <w:rPr>
          <w:rFonts w:ascii="Times New Roman" w:cs="Times New Roman" w:eastAsia="Times New Roman" w:hAnsi="Times New Roman"/>
          <w:sz w:val="18"/>
          <w:szCs w:val="18"/>
          <w:color w:val="auto"/>
        </w:rPr>
      </w:pPr>
    </w:p>
    <w:p>
      <w:pPr>
        <w:jc w:val="both"/>
        <w:ind w:left="1620" w:hanging="316"/>
        <w:spacing w:after="0" w:line="255" w:lineRule="auto"/>
        <w:tabs>
          <w:tab w:leader="none" w:pos="16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allowances are provided unless it is more likely than not that the deferred tax asset will be realized. In the determination of the appropriate valuation allowances, the Company considers future reversals of existing taxable temporary differences, the most recent projections of future business results, that may enhance the likelihood of realization of a deferred tax asset. Assessments for the realization of deferred tax assets made at a given balance sheet date are subject to change in the future, particularly if earnings of a subsidiary are significantly higher or lower than expected, or if the Company takes operational or tax positions that could impact the future taxable earnings of a subsidiary. Accordingly, changes in the assumptions described above could have a material impact on the Company’s consolidated results of operations.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share-based compensation under ASC 718, “Compensation - Stock Compensation,” which requires the measurement and recognition of compensation expense based on estimated fair values for all share-based payment awards made to non-employees, employees, officers and directors. ASC 718 requires companies to estimate the fair value of equity-based payment awards on the date of grant. The Company uses the Black-Scholes-Merton option-pricing model as part of such estimation.</w:t>
      </w:r>
    </w:p>
    <w:p>
      <w:pPr>
        <w:spacing w:after="0" w:line="112" w:lineRule="exact"/>
        <w:rPr>
          <w:rFonts w:ascii="Times New Roman" w:cs="Times New Roman" w:eastAsia="Times New Roman" w:hAnsi="Times New Roman"/>
          <w:sz w:val="18"/>
          <w:szCs w:val="18"/>
          <w:b w:val="1"/>
          <w:bCs w:val="1"/>
          <w:color w:val="auto"/>
        </w:rPr>
      </w:pPr>
    </w:p>
    <w:p>
      <w:pPr>
        <w:ind w:left="13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compensation expenses for its stock-based option awards and RSUs on a straight-line basis over the requisite service period (primarily a four-year period). The Company accounts for forfeitures as they occur.</w:t>
      </w:r>
    </w:p>
    <w:p>
      <w:pPr>
        <w:spacing w:after="0" w:line="90"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61"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per share is computed by dividing net income (loss) attributable to holders of ordinary shares of the Company by the weighted average number of ordinary shares outstanding for each reporting period.</w:t>
      </w:r>
    </w:p>
    <w:p>
      <w:pPr>
        <w:spacing w:after="0" w:line="94"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computing the Company’s diluted earnings per share, the denominator for diluted earnings per share is a computation of the weighted-average number of ordinary shares and the potential dilutive ordinary shares outstanding during the period. Potential dilutive ordinary shares result from assumed exercise of options and the assumed vesting of RSUs, using the “treasury stock” method.</w:t>
      </w:r>
    </w:p>
    <w:p>
      <w:pPr>
        <w:spacing w:after="0" w:line="108"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did not take into account any dilutive instruments, such as investor warrants, share-based payments and earn-out liabilities that will be settled in ordinary shares upon the achievement of certain milestones, for which the Company assesses their occurrence at the end of each reporting period-, since their effect is anti-dilutive.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158" w:lineRule="exact"/>
        <w:rPr>
          <w:sz w:val="20"/>
          <w:szCs w:val="20"/>
          <w:color w:val="auto"/>
        </w:rPr>
      </w:pPr>
    </w:p>
    <w:p>
      <w:pPr>
        <w:ind w:left="1300" w:hanging="320"/>
        <w:spacing w:after="0"/>
        <w:tabs>
          <w:tab w:leader="none" w:pos="130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based on the price that would be received from the sale of an asset or that would be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spacing w:after="0" w:line="112" w:lineRule="exact"/>
        <w:rPr>
          <w:rFonts w:ascii="Times New Roman" w:cs="Times New Roman" w:eastAsia="Times New Roman" w:hAnsi="Times New Roman"/>
          <w:sz w:val="18"/>
          <w:szCs w:val="18"/>
          <w:b w:val="1"/>
          <w:bCs w:val="1"/>
          <w:color w:val="auto"/>
        </w:rPr>
      </w:pPr>
    </w:p>
    <w:p>
      <w:pPr>
        <w:ind w:left="196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6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225" w:lineRule="exact"/>
        <w:rPr>
          <w:rFonts w:ascii="Times New Roman" w:cs="Times New Roman" w:eastAsia="Times New Roman" w:hAnsi="Times New Roman"/>
          <w:sz w:val="18"/>
          <w:szCs w:val="18"/>
          <w:b w:val="1"/>
          <w:bCs w:val="1"/>
          <w:color w:val="auto"/>
        </w:rPr>
      </w:pPr>
    </w:p>
    <w:p>
      <w:pPr>
        <w:ind w:left="196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94"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61" w:lineRule="exact"/>
        <w:rPr>
          <w:rFonts w:ascii="Times New Roman" w:cs="Times New Roman" w:eastAsia="Times New Roman" w:hAnsi="Times New Roman"/>
          <w:sz w:val="18"/>
          <w:szCs w:val="18"/>
          <w:b w:val="1"/>
          <w:bCs w:val="1"/>
          <w:color w:val="auto"/>
        </w:rPr>
      </w:pPr>
    </w:p>
    <w:p>
      <w:pPr>
        <w:ind w:left="13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instruments consist mainly of cash and cash equivalents, restricted cash, accounts receivable, accounts payable, accrued expenses and other liabilities. The fair value of these financial instruments approximates their carrying value.</w:t>
      </w:r>
    </w:p>
    <w:p>
      <w:pPr>
        <w:spacing w:after="0" w:line="90"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Balance as of</w:t>
      </w:r>
    </w:p>
    <w:p>
      <w:pPr>
        <w:spacing w:after="0" w:line="3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tcPr>
          <w:p>
            <w:pPr>
              <w:spacing w:after="0"/>
              <w:rPr>
                <w:sz w:val="21"/>
                <w:szCs w:val="21"/>
                <w:color w:val="auto"/>
              </w:rPr>
            </w:pPr>
          </w:p>
        </w:tc>
        <w:tc>
          <w:tcPr>
            <w:tcW w:w="9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2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31,841</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31,841</w:t>
            </w:r>
          </w:p>
        </w:tc>
        <w:tc>
          <w:tcPr>
            <w:tcW w:w="0" w:type="dxa"/>
            <w:vAlign w:val="bottom"/>
          </w:tcPr>
          <w:p>
            <w:pPr>
              <w:spacing w:after="0"/>
              <w:rPr>
                <w:sz w:val="1"/>
                <w:szCs w:val="1"/>
                <w:color w:val="auto"/>
              </w:rPr>
            </w:pPr>
          </w:p>
        </w:tc>
      </w:tr>
      <w:tr>
        <w:trPr>
          <w:trHeight w:val="23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64,359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64,359</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96,200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96,200</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loan</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short term earnout liability (***)</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long-term earnout liability (***)</w:t>
            </w:r>
          </w:p>
        </w:tc>
        <w:tc>
          <w:tcPr>
            <w:tcW w:w="9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11,567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Company classifies AFS securities within Level 2 because it uses alternative pricing sources and models utilizing market observable inputs to determine their fair value.</w:t>
      </w:r>
    </w:p>
    <w:p>
      <w:pPr>
        <w:spacing w:after="0" w:line="90"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Balance as of</w:t>
      </w:r>
    </w:p>
    <w:p>
      <w:pPr>
        <w:spacing w:after="0" w:line="3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tcPr>
          <w:p>
            <w:pPr>
              <w:spacing w:after="0"/>
              <w:rPr>
                <w:sz w:val="21"/>
                <w:szCs w:val="21"/>
                <w:color w:val="auto"/>
              </w:rPr>
            </w:pPr>
          </w:p>
        </w:tc>
        <w:tc>
          <w:tcPr>
            <w:tcW w:w="9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2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29,697</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89,911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119,608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loan (**)</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short term earnout liability (***)</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42,471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long-term earnout liability (***)</w:t>
            </w:r>
          </w:p>
        </w:tc>
        <w:tc>
          <w:tcPr>
            <w:tcW w:w="9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5,814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52,081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340" w:hanging="332"/>
        <w:spacing w:after="0" w:line="266"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approximately $31,841 thousand of debt securities were classified under “Cash and Cash equivalents” in the consolidated balance sheets as such securities met all applicable classification criteria. As of December 31, 2021, approximately $29,697 thousand of debt securities were classified under “Cash and Cash equivalents” in the consolidated balance sheets as such securities met all applicable classification criteria.</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06"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 of December 31, 2021, the fair value of the long term loan approximates its carrying value since the loan was originated in September 2021.</w:t>
      </w:r>
    </w:p>
    <w:p>
      <w:pPr>
        <w:spacing w:after="0" w:line="225" w:lineRule="exact"/>
        <w:rPr>
          <w:sz w:val="20"/>
          <w:szCs w:val="20"/>
          <w:color w:val="auto"/>
        </w:rPr>
      </w:pPr>
    </w:p>
    <w:p>
      <w:pPr>
        <w:ind w:left="440" w:hanging="432"/>
        <w:spacing w:after="0" w:line="282" w:lineRule="auto"/>
        <w:tabs>
          <w:tab w:leader="none" w:pos="4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valuation approach is applied and the valuation inputs include the contingent payment arrangement terms, discount rate and probability assessments.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earnout liability:</w:t>
      </w:r>
    </w:p>
    <w:p>
      <w:pPr>
        <w:spacing w:after="0" w:line="229" w:lineRule="exact"/>
        <w:rPr>
          <w:sz w:val="20"/>
          <w:szCs w:val="20"/>
          <w:color w:val="auto"/>
        </w:rPr>
      </w:pPr>
    </w:p>
    <w:p>
      <w:pPr>
        <w:jc w:val="both"/>
        <w:ind w:left="440"/>
        <w:spacing w:after="0" w:line="253" w:lineRule="auto"/>
        <w:rPr>
          <w:sz w:val="20"/>
          <w:szCs w:val="20"/>
          <w:color w:val="auto"/>
        </w:rPr>
      </w:pPr>
      <w:r>
        <w:rPr>
          <w:rFonts w:ascii="Times New Roman" w:cs="Times New Roman" w:eastAsia="Times New Roman" w:hAnsi="Times New Roman"/>
          <w:sz w:val="18"/>
          <w:szCs w:val="18"/>
          <w:color w:val="auto"/>
        </w:rPr>
        <w:t>The Company determines the fair value of the liabilities for the earn-out contingent consideration based on a probability-weighted discounted cash flow analysis with regards to probability assessments of achievement of certain milestones and discount rate. A probability of success factor ranging from 0% to 100% was used in the calculation of the probability of the achievement of each milestone. This fair value measurement is based on significant unobservable inputs and thus represents a Level 3 measurement within the fair value hierarchy. The fair value of the contingent consideration liabilities is based on several factors, such as: the cash flows projected from operations; the probability of success of achievement of regulatory clearances, CPT codes, and other industry certification, development of applications and systems deployment and several other milestone events; and the time and resources needed to complete each milestone and the risk adjusted discount rate for fair value measurement. The weighted average discount rate ranged from 4.696% to 22.50%. The contingent short and long term earnout liability consideration is evaluated quarterly. Changes in the fair value of contingent consideration liabilities are recorded in the consolidated statements of operations. Significant changes in unobservable inputs, mainly the probability of success and cash flows projected, could result in material changes in the contingent short and long term earnout liabilities.</w:t>
      </w:r>
    </w:p>
    <w:p>
      <w:pPr>
        <w:spacing w:after="0" w:line="192"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for those financial liabilities where fair value measurements are estimated utilizing Level 3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i w:val="1"/>
                <w:iCs w:val="1"/>
                <w:color w:val="auto"/>
              </w:rPr>
              <w:t>2022</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(U.S. $ in 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the beginning of the year</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48,285</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Initial recognition of earnout liabilities -</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48,285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earn out liabilities obligation -</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(20,376)</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ordinary shares due to achievement of milestones and settlement of contingent consideration</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(19,570)</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the end of the year</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8,339</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48,285</w:t>
            </w:r>
          </w:p>
        </w:tc>
      </w:tr>
    </w:tbl>
    <w:p>
      <w:pPr>
        <w:spacing w:after="0" w:line="198"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The Quantitative Information about Level 3 Fair Value Measurements of the Company’s short-term and long-term contingent consideration liabilities designated as Level 3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45"/>
        </w:trPr>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Technique</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Input</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Contingent short term earnout liability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16"/>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(Nanox AI, MDW Inc. and USARAD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contingent payment arrangement terms, and</w:t>
            </w:r>
          </w:p>
        </w:tc>
      </w:tr>
      <w:tr>
        <w:trPr>
          <w:trHeight w:val="234"/>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Holding Inc.)</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42,471</w:t>
            </w: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probability of achievement</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Contingent long term earnout liability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16"/>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(Nanox AI, MDW Inc. and USARAD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contingent payment arrangement terms, and</w:t>
            </w:r>
          </w:p>
        </w:tc>
      </w:tr>
      <w:tr>
        <w:trPr>
          <w:trHeight w:val="234"/>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Holding Inc.)</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5,814</w:t>
            </w: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probability of achievement</w:t>
            </w:r>
          </w:p>
        </w:tc>
      </w:tr>
      <w:tr>
        <w:trPr>
          <w:trHeight w:val="410"/>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45"/>
        </w:trPr>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Technique</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Input</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Contingent short term earnout liability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3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contingent payment arrangement terms, and</w:t>
            </w:r>
          </w:p>
        </w:tc>
      </w:tr>
      <w:tr>
        <w:trPr>
          <w:trHeight w:val="234"/>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(MDW Inc. and USARAD Holding Inc.)</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4,250</w:t>
            </w: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probability of achievement</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Contingent long term earnout liability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3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contingent payment arrangement terms, and</w:t>
            </w:r>
          </w:p>
        </w:tc>
      </w:tr>
      <w:tr>
        <w:trPr>
          <w:trHeight w:val="234"/>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(USARAD Holding Inc.)</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4,089</w:t>
            </w: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probability of achievement</w:t>
            </w:r>
          </w:p>
        </w:tc>
      </w:tr>
      <w:tr>
        <w:trPr>
          <w:trHeight w:val="655"/>
        </w:trPr>
        <w:tc>
          <w:tcPr>
            <w:tcW w:w="3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F-17</w:t>
            </w: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300" w:hanging="320"/>
        <w:spacing w:after="0"/>
        <w:tabs>
          <w:tab w:leader="none" w:pos="13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Credit Risks</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restricted cash, marketable securities and accounts receivable.</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cash and cash equivalents and restricted cash are invested with major banks in Israel, the United States, Korea and Japan. Generally, these investments may be redeemed upon demand and the Company believes that the financial institutions that hold the Company’s cash balances are financially sound and, accordingly, bear minimal risk.</w:t>
      </w:r>
    </w:p>
    <w:p>
      <w:pPr>
        <w:spacing w:after="0" w:line="171"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jc w:val="both"/>
        <w:ind w:left="1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leases in accordance with ASC 842. The Company determines if an arrangement is a lease at inception. Balances related to operating leases are included in operating lease right-of-use (“ROU”) assets, current maturities of operating leases liabilities and Non-current operating leases liabilities in the consolidated balance sheets.</w:t>
      </w:r>
    </w:p>
    <w:p>
      <w:pPr>
        <w:spacing w:after="0" w:line="175" w:lineRule="exact"/>
        <w:rPr>
          <w:rFonts w:ascii="Times New Roman" w:cs="Times New Roman" w:eastAsia="Times New Roman" w:hAnsi="Times New Roman"/>
          <w:sz w:val="18"/>
          <w:szCs w:val="18"/>
          <w:b w:val="1"/>
          <w:bCs w:val="1"/>
          <w:color w:val="auto"/>
        </w:rPr>
      </w:pPr>
    </w:p>
    <w:p>
      <w:pPr>
        <w:jc w:val="both"/>
        <w:ind w:left="1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also elected not separating lease components from non-lease components and to keep leases with an initial term of 12 months or less off the balance sheet and recognize the associated lease payments in the consolidated statements of operations on a straight-line basis over the lease term.</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lease ROU assets and liabilities are recognized as of the commencement date based on the present value of lease payments over the lease term. The Company’s lease terms may include options to extend or terminate the lease when it is reasonably certain that the Company will exercise that option. The discount rate for the lease is the rate implicit in the lease unless that rate cannot be readily determined. As the Company’s leases do not provide an implicit rate, the Company’s uses its estimated incremental borrowing rate based on the information available at the commencement date in determining the present value of lease payments. Lease expense for lease payments is recognized on a straight-line basis over the lease term (see also note 7).</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340" w:hanging="347"/>
        <w:spacing w:after="0"/>
        <w:tabs>
          <w:tab w:leader="none" w:pos="13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The Company’s chief operating decision maker is the Company’s Chief Executive Officer (the “CODM”), who makes resource allocation decisions and assesses performance based on financial information prepared on a consolidated basis, accompanied by disaggregated information about revenues, gross profit and operating loss by the three identified reportable segments. The Company’s business includes three operating segments based on the services that the Company provides. The three segments are composed of the Nanox.ARC segment, the AI solutions segment and the Radiology services segment.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 AND OTHER TRANSACTION</w:t>
      </w:r>
    </w:p>
    <w:p>
      <w:pPr>
        <w:spacing w:after="0" w:line="229" w:lineRule="exact"/>
        <w:rPr>
          <w:sz w:val="20"/>
          <w:szCs w:val="20"/>
          <w:color w:val="auto"/>
        </w:rPr>
      </w:pPr>
    </w:p>
    <w:p>
      <w:pPr>
        <w:ind w:left="1300" w:hanging="320"/>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Nanox AI Ltd. (formerly Zebra Medical Vision Ltd.).</w:t>
      </w:r>
    </w:p>
    <w:p>
      <w:pPr>
        <w:spacing w:after="0" w:line="225" w:lineRule="exact"/>
        <w:rPr>
          <w:rFonts w:ascii="Times New Roman" w:cs="Times New Roman" w:eastAsia="Times New Roman" w:hAnsi="Times New Roman"/>
          <w:sz w:val="18"/>
          <w:szCs w:val="18"/>
          <w:color w:val="auto"/>
        </w:rPr>
      </w:pPr>
    </w:p>
    <w:p>
      <w:pPr>
        <w:jc w:val="both"/>
        <w:ind w:left="13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2021 (“the merger date”), the Company completed the merger (“the Nanox AI transaction”) pursuant to the terms of the Agreement and Plan of Merger, dated August 9, 2021 (with certain amendments, the “Agreement”), among the Company, Zebra Medical Vision Ltd. (“Zebra” or “Nanox AI”) and Perryllion Ltd., as representative of Zebra’s equity holders. At November 4, 2021, the Company issued 3,249,142 ordinary shares of the Company and committed to issue 70,211 employee options and restricted stock units to the equity holders of Zebra with an estimated fair value at the closing date of $88,510 thousand, representing $26.57 per share in consideration for the fully outstanding shares on a fully diluted basis of Zebra. $315 thousand was allocated to the purchase consideration and $970 thousand was allocated to future services and continued employment and shall be expensed over remaining service periods of up to 4 years.</w:t>
      </w:r>
    </w:p>
    <w:p>
      <w:pPr>
        <w:spacing w:after="0" w:line="191" w:lineRule="exact"/>
        <w:rPr>
          <w:rFonts w:ascii="Times New Roman" w:cs="Times New Roman" w:eastAsia="Times New Roman" w:hAnsi="Times New Roman"/>
          <w:sz w:val="18"/>
          <w:szCs w:val="18"/>
          <w:color w:val="auto"/>
        </w:rPr>
      </w:pPr>
    </w:p>
    <w:p>
      <w:pPr>
        <w:jc w:val="both"/>
        <w:ind w:left="13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Nanox AI transaction was accounted in accordance with ASC 805, “Business Combinations”, using the acquisition method of accounting with the Company as the acquirer. The fair value of ordinary shares issued by the Company was determined using the Company’s closing trading price on the merger date. The consideration represented (a) the basic purchase price minus; (b) certain transaction costs; plus (c) additional consideration as a result of Zebra entering into a designated commercial agreement prior to closing; plus (d) additional contingent consideration as a result of Zebra achieving a designated milestone of obtaining a new FDA clearance for its population health product and additional consideration as a result of Zebra achieving designated milestones as further described below. In addition, since Zebra entered into two additional designated commercial agreements within 6 months of the agreement execution date (August 9, 2021), the Company paid a contingent closing consideration in the amount of $3,333 thousand in shares for each agreement. The contingent closing consideration was paid in the Company’s shares in the amount of the relevant installment payment divided by the average closing price of the 30 trading days ending on the applicable agreement signing date. Further, if Zebra achieves the agreed milestones related to obtaining certain FDA clearances and security certifications, completing certain technology integration, or achieving certain revenue and employee retention targets over the next three years, the Company will pay additional consideration in the amount of up to $77,700 thousand. Each of these milestone installments would be paid in the Company’s shares in the amount of the relevant installment payment divided by the average closing price of the 30 trading days ending on the applicable milestone’s achievement date. Zebra changed its name to Nanox AI ltd. and Zebra Medical Vision Inc. (a fully owned subsidiary of Zebra, which is incorporated under the laws of the State of Delaware) changed its name to Nanox AI Inc.</w:t>
      </w:r>
    </w:p>
    <w:p>
      <w:pPr>
        <w:spacing w:after="0" w:line="194" w:lineRule="exact"/>
        <w:rPr>
          <w:rFonts w:ascii="Times New Roman" w:cs="Times New Roman" w:eastAsia="Times New Roman" w:hAnsi="Times New Roman"/>
          <w:sz w:val="18"/>
          <w:szCs w:val="18"/>
          <w:color w:val="auto"/>
        </w:rPr>
      </w:pPr>
    </w:p>
    <w:p>
      <w:pPr>
        <w:jc w:val="both"/>
        <w:ind w:left="13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the purchase price to net assets acquired and liability assumed for the acquisition of Zebra resulted in the recognition of intangible assets related to technology of $27,316 thousand and Image Big Data of $52,500 thousand, both of which will be amortized over a remaining useful life period of 10 years. In order to estimate the fair value of Zebra’s Image Big Data, the Company used the cost approach method using the discounted weighted average cost of one image for $1.75 per one patient record multiplied by approximately 30 million patient records that the Company purchased (patient records represents over 10 years of patient history, multi modalities, heterogeneous data of ethnicity and age) as of the acquisition date. This estimate is based on the experience and knowledge of management from its own experience in its data monetization projects and after taking into consideration the legal aspects of the non-transferable data. Therefore, the total fair value of the Image Big Data was assumed to be $52,500 thousand at the acquisition date.</w:t>
      </w:r>
    </w:p>
    <w:p>
      <w:pPr>
        <w:spacing w:after="0" w:line="191" w:lineRule="exact"/>
        <w:rPr>
          <w:rFonts w:ascii="Times New Roman" w:cs="Times New Roman" w:eastAsia="Times New Roman" w:hAnsi="Times New Roman"/>
          <w:sz w:val="18"/>
          <w:szCs w:val="18"/>
          <w:color w:val="auto"/>
        </w:rPr>
      </w:pPr>
    </w:p>
    <w:p>
      <w:pPr>
        <w:jc w:val="both"/>
        <w:ind w:left="1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can generate income immediately from this asset. In order to estimate the fair value of Zebra’s technology, the Company used the discounted cash flow method, whereas the fair value of the tax amortization benefit was $3.0 million and the fair value of the intangible asset related to technology before tax amortization benefit was $24.3 million. The tax amortization benefit was calculated based on the applicable tax rate of 23.02% and economic life of 10 years. The discount rate for Zebra’s technology was estimated at 18% reflecting a 1% discount on the company’s WACC. Therefore, the fair value of Zebra’s intangible asset related to technology was estimated at $27.3 million at the date of the acquisition.</w:t>
      </w:r>
    </w:p>
    <w:p>
      <w:pPr>
        <w:spacing w:after="0" w:line="187" w:lineRule="exact"/>
        <w:rPr>
          <w:rFonts w:ascii="Times New Roman" w:cs="Times New Roman" w:eastAsia="Times New Roman" w:hAnsi="Times New Roman"/>
          <w:sz w:val="18"/>
          <w:szCs w:val="18"/>
          <w:color w:val="auto"/>
        </w:rPr>
      </w:pPr>
    </w:p>
    <w:p>
      <w:pPr>
        <w:jc w:val="both"/>
        <w:ind w:left="13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considered the criteria in ASC 350-30-35 and determined the estimated useful life of the technology to be 10 years as of Zebra’s acquisition, based on management’s estimate of how long the know-how will be in place before being subject to a transition into a new generation of technologies. The Company also examined its estimation compared to other companies operating in the field of healthcare technologies that the Company considers as market leaders. Compared to such comparable companies, the Company’s estimation falls into the middle of the useful life’s range. The Company believes that both intangible assets have a useful life of 10 years, and that therefore is the appropriate amortization period since the usage of the Image Big Data asset is linked directly to the Company’s acquired technology and is used to improve the technology’s capabilities. Additionally, the Company is not aware of any legal, regulatory, contractual provisions or other factors that would impact its estimate of the useful life of the technology and the Image Big Data.</w:t>
      </w:r>
    </w:p>
    <w:p>
      <w:pPr>
        <w:spacing w:after="0" w:line="188"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19, 2022, the Company issued 89,286 shares to the former shareholders of Zebra due to partial achievement of a milestone that occurred post-closing.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BUSINESS COMBINATION AND OTHER TRANSACTION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On December 29, 2022, the Company entered into a settlement with respect to any additional amount that could be granted under the Agreement, according to which the Company issued Zebra’s former shareholders an additional 2,648,424 ordinary shares (representing additional consideration of approximately $18,617 thousand). As a result of the settlement, both parties’ performance obligations under the Agreement have been satisfied in full. Therefore, no further revaluations are required due to this settlement.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summarizes the fair value of the consideration transferred to Zebra shareholders in 2021 for the Zebra transaction:</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ordinary shares, options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Contingent short term earnout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long term earnout liability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w:t>
      </w:r>
    </w:p>
    <w:p>
      <w:pPr>
        <w:spacing w:after="0" w:line="18" w:lineRule="exact"/>
        <w:rPr>
          <w:sz w:val="20"/>
          <w:szCs w:val="20"/>
          <w:color w:val="auto"/>
        </w:rPr>
      </w:pPr>
    </w:p>
    <w:p>
      <w:pPr>
        <w:ind w:left="1060" w:hanging="1055"/>
        <w:spacing w:after="0"/>
        <w:tabs>
          <w:tab w:leader="none" w:pos="10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88,510</w:t>
      </w:r>
    </w:p>
    <w:p>
      <w:pPr>
        <w:spacing w:after="0" w:line="9"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38,129</w:t>
      </w:r>
    </w:p>
    <w:p>
      <w:pPr>
        <w:spacing w:after="0" w:line="9"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2,660</w:t>
      </w:r>
    </w:p>
    <w:p>
      <w:pPr>
        <w:spacing w:after="0" w:line="58" w:lineRule="exact"/>
        <w:rPr>
          <w:sz w:val="20"/>
          <w:szCs w:val="20"/>
          <w:color w:val="auto"/>
        </w:rPr>
      </w:pPr>
    </w:p>
    <w:p>
      <w:pPr>
        <w:ind w:left="520" w:hanging="515"/>
        <w:spacing w:after="0"/>
        <w:tabs>
          <w:tab w:leader="none" w:pos="5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3" w:right="339" w:bottom="1440" w:gutter="0" w:footer="0" w:header="0"/>
          <w:type w:val="continuous"/>
        </w:sectPr>
      </w:pPr>
    </w:p>
    <w:p>
      <w:pPr>
        <w:spacing w:after="0" w:line="93"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In accordance with ASC 805, the estimated contingent consideration as of the Zebra transaction date was included in the purchase price. As of the acquisition date, the total contingent payments could reach to a maximum aggregate amount of up to $77,700 thousand, all shall be settled through the issuance of ordinary shares. The Company determined the fair value of the liabilities for the contingent consideration based on a probability-weighted discounted cash flow analysis. This fair value measurement is based on significant unobservable inputs in the market and thus represents a Level 3 measurement within the fair value hierarchy. The fair value of the contingent consideration is based on several factors, such as: the cash flows projected from the success of achievements of several achievement and payment of milestone events; the time and resources needed to achieve those milestones and the risk adjusted discount rate for fair value measurement. A probability of success factor was used in the fair value calculation to reflect inherent regulatory and commercial risk of the contingent payments. The weighted average discount rate, applied on the relative fair value of the contingent consideration liabilities, was 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The allocation of the purchase price to assets acquired and liabilities assumed in 2021, is as follows: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Allocation of</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Purchase</w:t>
            </w:r>
          </w:p>
        </w:tc>
      </w:tr>
      <w:tr>
        <w:trPr>
          <w:trHeight w:val="245"/>
        </w:trPr>
        <w:tc>
          <w:tcPr>
            <w:tcW w:w="10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198"/>
        </w:trPr>
        <w:tc>
          <w:tcPr>
            <w:tcW w:w="100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(U.S. $ in</w:t>
            </w:r>
          </w:p>
        </w:tc>
        <w:tc>
          <w:tcPr>
            <w:tcW w:w="100" w:type="dxa"/>
            <w:vAlign w:val="bottom"/>
            <w:gridSpan w:val="2"/>
          </w:tcPr>
          <w:p>
            <w:pPr>
              <w:spacing w:after="0"/>
              <w:rPr>
                <w:sz w:val="17"/>
                <w:szCs w:val="17"/>
                <w:color w:val="auto"/>
              </w:rPr>
            </w:pPr>
          </w:p>
        </w:tc>
      </w:tr>
      <w:tr>
        <w:trPr>
          <w:trHeight w:val="234"/>
        </w:trPr>
        <w:tc>
          <w:tcPr>
            <w:tcW w:w="10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thousands)</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6,956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79,816</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51,243</w:t>
            </w:r>
          </w:p>
        </w:tc>
        <w:tc>
          <w:tcPr>
            <w:tcW w:w="80" w:type="dxa"/>
            <w:vAlign w:val="bottom"/>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1,693</w:t>
            </w:r>
          </w:p>
        </w:tc>
        <w:tc>
          <w:tcPr>
            <w:tcW w:w="80" w:type="dxa"/>
            <w:vAlign w:val="bottom"/>
          </w:tcPr>
          <w:p>
            <w:pPr>
              <w:spacing w:after="0"/>
              <w:rPr>
                <w:sz w:val="20"/>
                <w:szCs w:val="20"/>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3,413</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Contingent short term earnout liability</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38,129</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long-term earnout liability</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18"/>
                <w:szCs w:val="18"/>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labilities</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4,525</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 assumed</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51,727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10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88,510</w:t>
            </w:r>
          </w:p>
        </w:tc>
        <w:tc>
          <w:tcPr>
            <w:tcW w:w="80" w:type="dxa"/>
            <w:vAlign w:val="bottom"/>
          </w:tcPr>
          <w:p>
            <w:pPr>
              <w:spacing w:after="0"/>
              <w:rPr>
                <w:sz w:val="22"/>
                <w:szCs w:val="22"/>
                <w:color w:val="auto"/>
              </w:rPr>
            </w:pPr>
          </w:p>
        </w:tc>
      </w:tr>
      <w:tr>
        <w:trPr>
          <w:trHeight w:val="20"/>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80" w:hanging="318"/>
        <w:spacing w:after="0" w:line="266" w:lineRule="auto"/>
        <w:tabs>
          <w:tab w:leader="none" w:pos="3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 years Convertible Loan Agreement, dated August 9, 2021 between the Company and Nanox AI in the amount of $3 million, which bears an annual interest of 6% and shall be automatically converted into the Nanox AI’s Preferred C Shares, at a price per share of $23.42. This loan is eliminated in the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BUSINESS COMBINATION AND OTHER TRANSACTION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allocation of the purchase price to net assets acquired and liability assumed resulted in the recognition of goodwill of $51,243 thousand, which is primarily attributed to the expected synergies from combining the operations of Zebra’s AI solutions with the Company’s tomographic imaging systems. As such, this goodwill will be assigned to the operational segment of AI solutions. The amount of the acquisition-related costs was approximately $310 thousand which was recognized as an expense in the general and administration expenses.</w:t>
      </w:r>
    </w:p>
    <w:p>
      <w:pPr>
        <w:spacing w:after="0" w:line="183"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results of operations of Nanox AI have been included in the consolidated financial statements since the date of the acquisition. The amounts of revenues and net loss related to Nanox AI that are included in the Company’s consolidated statements of operations for the period starting from the merger date to December 31, 2021, are $270 thousand and $4,157 thousand, respectively.</w:t>
      </w:r>
    </w:p>
    <w:p>
      <w:pPr>
        <w:spacing w:after="0" w:line="176"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information presents the combined results of operations of the Company and Nanox AI as if the acquisition of Nanox AI had been completed on January 1, 2020.</w:t>
      </w:r>
    </w:p>
    <w:p>
      <w:pPr>
        <w:spacing w:after="0" w:line="162"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unaudited pro forma results include adjustments primarily related to amortization of the acquired intangible assets and share-based compensation associated with option grants as referenced above, as of January 1,2020. The unaudited pro forma results do not reflect any cost-saving synergies from operating efficiencies, or the effect of the incremental costs incurred from integrating Nanox AI. Accordingly, these unaudited pro forma results are presented for informational purposes only and are not necessarily indicative of what the actual results of operations of the combined company would have been if the acquisition of Nanox AI had occurred at the beginning of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For the Year</w:t>
            </w:r>
          </w:p>
        </w:tc>
        <w:tc>
          <w:tcPr>
            <w:tcW w:w="1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For the Year</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8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680" w:type="dxa"/>
            <w:vAlign w:val="bottom"/>
          </w:tcPr>
          <w:p>
            <w:pPr>
              <w:spacing w:after="0"/>
              <w:rPr>
                <w:sz w:val="18"/>
                <w:szCs w:val="18"/>
                <w:color w:val="auto"/>
              </w:rPr>
            </w:pPr>
          </w:p>
        </w:tc>
        <w:tc>
          <w:tcPr>
            <w:tcW w:w="12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US$ in thousand</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2,363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1,550</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(87,045)</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(69,875)</w:t>
            </w:r>
          </w:p>
        </w:tc>
      </w:tr>
    </w:tbl>
    <w:p>
      <w:pPr>
        <w:spacing w:after="0" w:line="17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During 2022, the Company tested for goodwill impairment by quantitatively comparing the fair values of the AI solution segment reporting unit to it carrying amount. Based on the Company’s analysis, the Company determined that the carrying value of the AI solution segment reporting unit exceeded its fair value and therefore the Company recorded a non-tax-deductible goodwill impairment charge totaling $50,878 thousand, which was included within the consolidated statement of operations for the year ended December 31, 2022 (refer to Note 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BUSINESS COMBINATION AND OTHER TRANSACTION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1300" w:hanging="320"/>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USARAD Holding Inc. (the “USARAD transaction”)</w:t>
      </w:r>
    </w:p>
    <w:p>
      <w:pPr>
        <w:spacing w:after="0" w:line="225" w:lineRule="exact"/>
        <w:rPr>
          <w:rFonts w:ascii="Times New Roman" w:cs="Times New Roman" w:eastAsia="Times New Roman" w:hAnsi="Times New Roman"/>
          <w:sz w:val="18"/>
          <w:szCs w:val="18"/>
          <w:color w:val="auto"/>
        </w:rPr>
      </w:pPr>
    </w:p>
    <w:p>
      <w:pPr>
        <w:jc w:val="both"/>
        <w:ind w:left="1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 2021 (the “USARAD closing date”), the Company completed the acquisition of 100% of the shares of USARAD Holdings, Inc., a Delaware corporation (“USARAD”), pursuant to the terms of the Stock Purchase Agreement, dated October 25, 2021, among the Company, USARAD, Dr. Michael Yuz, other holders of capital stock of USARAD, and holders of USARAD options. At the USARAD closing date, Nanox U.S. purchased 100% of the shares of USARAD on a fully diluted basis for $7,147 thousand in cash and 496,545 of the Company’s ordinary shares with fair value of $11,500 thousand. The number of ordinary shares issued by the Company was determined using the average closing trading price during the 30 trading days preceding to the closing date. The total consideration was approximately $18,647 thousand. In addition, upon the successful achievement of certain milestones related to profitability, EBITDA and other operational performance-based earnouts over 2 years from the date of acquisition, the Company will pay additional cash consideration in the amount of up to $2,000 thousand and stock consideration in the amount of up to $6,500 thousand at a per share value determined by the average of (i) the volume weighted average closing share price of the 30 trading days prior to the relevant milestone completion, and (ii) the volume weighted average closing share price of the 30 trading days ending on August 6, 2021. Revenue in the amount of $1,034 and net loss in the amount of $358 thousand of the acquiree included in the Company’s consolidated statements of operations for the year ended at December 31, 2021.</w:t>
      </w:r>
    </w:p>
    <w:p>
      <w:pPr>
        <w:spacing w:after="0" w:line="187"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USARAD transaction was accounted in accordance with ASC 805, “Business Combinations”, using the acquisition method of accounting with the Company as the acquirer. The following table summarizes the fair value of the consideration transferred to USARAD shareholders in 2021 for the USARAD transaction: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U.S. $</w:t>
            </w:r>
          </w:p>
        </w:tc>
      </w:tr>
      <w:tr>
        <w:trPr>
          <w:trHeight w:val="245"/>
        </w:trPr>
        <w:tc>
          <w:tcPr>
            <w:tcW w:w="10020" w:type="dxa"/>
            <w:vAlign w:val="bottom"/>
          </w:tcPr>
          <w:p>
            <w:pPr>
              <w:spacing w:after="0"/>
              <w:rPr>
                <w:sz w:val="21"/>
                <w:szCs w:val="21"/>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ordinary shares</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11,500</w:t>
            </w:r>
          </w:p>
        </w:tc>
        <w:tc>
          <w:tcPr>
            <w:tcW w:w="80" w:type="dxa"/>
            <w:vAlign w:val="bottom"/>
          </w:tcPr>
          <w:p>
            <w:pPr>
              <w:spacing w:after="0"/>
              <w:rPr>
                <w:sz w:val="18"/>
                <w:szCs w:val="18"/>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at estimated fair value</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25,052</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In accordance with ASC 805, the estimated contingent consideration as of the USARAD transaction date was included in the purchase price. The total contingent payments could reach to a maximum aggregate amount of up to $8,500 thousand. Approximately 23.52% of the payments shall be settled in cash, and 76.47% shall be settled through the issuance of ordinary shares. The estimated fair value of the contingent consideration is based on management’s assessment of whether, and at what level, the financial metrics will be achieved, and the present value factors associated with the timing of the payments. This fair value measurement is based on significant unobservable inputs in the market and thus represents a Level 3 measurement within the fair value hierarchy. Changes in the fair value of contingent consideration will be recorded in operating expenses. Additional payment of $144 thousand was paid to USARAD’s shareholders during 2022 since an approval of the PPP loan by the Federal Government occurred and pursuant to the terms of the Stock Purchase Agreement.</w:t>
      </w:r>
    </w:p>
    <w:p>
      <w:pPr>
        <w:sectPr>
          <w:pgSz w:w="11900" w:h="16838" w:orient="portrait"/>
          <w:cols w:equalWidth="0" w:num="1">
            <w:col w:w="11240"/>
          </w:cols>
          <w:pgMar w:left="320" w:top="873" w:right="339" w:bottom="540" w:gutter="0" w:footer="0" w:header="0"/>
        </w:sectPr>
      </w:pPr>
    </w:p>
    <w:p>
      <w:pPr>
        <w:spacing w:after="0" w:line="192"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The allocation of the purchase price to assets acquired and liabilities assumed in 2021,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from a government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deferred tax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short term earnout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Contingent long term earnout liability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ind w:left="301"/>
        <w:spacing w:after="0"/>
        <w:rPr>
          <w:sz w:val="20"/>
          <w:szCs w:val="20"/>
          <w:color w:val="auto"/>
        </w:rPr>
      </w:pPr>
      <w:r>
        <w:rPr>
          <w:rFonts w:ascii="Times New Roman" w:cs="Times New Roman" w:eastAsia="Times New Roman" w:hAnsi="Times New Roman"/>
          <w:sz w:val="18"/>
          <w:szCs w:val="18"/>
          <w:b w:val="1"/>
          <w:bCs w:val="1"/>
          <w:color w:val="auto"/>
        </w:rPr>
        <w:t>Allocation of</w:t>
      </w:r>
    </w:p>
    <w:p>
      <w:pPr>
        <w:spacing w:after="0" w:line="31" w:lineRule="exact"/>
        <w:rPr>
          <w:sz w:val="20"/>
          <w:szCs w:val="20"/>
          <w:color w:val="auto"/>
        </w:rPr>
      </w:pPr>
    </w:p>
    <w:p>
      <w:pPr>
        <w:ind w:left="421"/>
        <w:spacing w:after="0"/>
        <w:rPr>
          <w:sz w:val="20"/>
          <w:szCs w:val="20"/>
          <w:color w:val="auto"/>
        </w:rPr>
      </w:pPr>
      <w:r>
        <w:rPr>
          <w:rFonts w:ascii="Times New Roman" w:cs="Times New Roman" w:eastAsia="Times New Roman" w:hAnsi="Times New Roman"/>
          <w:sz w:val="18"/>
          <w:szCs w:val="18"/>
          <w:b w:val="1"/>
          <w:bCs w:val="1"/>
          <w:color w:val="auto"/>
        </w:rPr>
        <w:t>Purchase</w:t>
      </w:r>
    </w:p>
    <w:p>
      <w:pPr>
        <w:spacing w:after="0" w:line="9"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8"/>
          <w:szCs w:val="18"/>
          <w:b w:val="1"/>
          <w:bCs w:val="1"/>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01155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1011555" cy="17145"/>
                    </a:xfrm>
                    <a:prstGeom prst="rect">
                      <a:avLst/>
                    </a:prstGeom>
                    <a:noFill/>
                  </pic:spPr>
                </pic:pic>
              </a:graphicData>
            </a:graphic>
          </wp:anchor>
        </w:drawing>
      </w:r>
    </w:p>
    <w:p>
      <w:pPr>
        <w:ind w:left="1"/>
        <w:spacing w:after="0"/>
        <w:rPr>
          <w:sz w:val="20"/>
          <w:szCs w:val="20"/>
          <w:color w:val="auto"/>
        </w:rPr>
      </w:pPr>
      <w:r>
        <w:rPr>
          <w:rFonts w:ascii="Times New Roman" w:cs="Times New Roman" w:eastAsia="Times New Roman" w:hAnsi="Times New Roman"/>
          <w:sz w:val="18"/>
          <w:szCs w:val="18"/>
          <w:b w:val="1"/>
          <w:bCs w:val="1"/>
          <w:color w:val="auto"/>
        </w:rPr>
        <w:t>(U.S. $ in thousands)</w:t>
      </w:r>
    </w:p>
    <w:p>
      <w:pPr>
        <w:spacing w:after="0" w:line="31" w:lineRule="exact"/>
        <w:rPr>
          <w:sz w:val="20"/>
          <w:szCs w:val="20"/>
          <w:color w:val="auto"/>
        </w:rPr>
      </w:pPr>
    </w:p>
    <w:p>
      <w:pPr>
        <w:ind w:left="1321" w:hanging="1321"/>
        <w:spacing w:after="0"/>
        <w:tabs>
          <w:tab w:leader="none" w:pos="132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332</w:t>
      </w:r>
    </w:p>
    <w:p>
      <w:pPr>
        <w:spacing w:after="0" w:line="9" w:lineRule="exact"/>
        <w:rPr>
          <w:rFonts w:ascii="Times New Roman" w:cs="Times New Roman" w:eastAsia="Times New Roman" w:hAnsi="Times New Roman"/>
          <w:sz w:val="18"/>
          <w:szCs w:val="18"/>
          <w:color w:val="auto"/>
        </w:rPr>
      </w:pPr>
    </w:p>
    <w:p>
      <w:pPr>
        <w:ind w:left="13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912</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21,187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7,055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33</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29,519</w:t>
      </w:r>
    </w:p>
    <w:p>
      <w:pPr>
        <w:spacing w:after="0" w:line="22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144</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557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3,766</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3,453</w:t>
      </w:r>
    </w:p>
    <w:p>
      <w:pPr>
        <w:spacing w:after="0" w:line="9" w:lineRule="exact"/>
        <w:rPr>
          <w:sz w:val="20"/>
          <w:szCs w:val="20"/>
          <w:color w:val="auto"/>
        </w:rPr>
      </w:pPr>
    </w:p>
    <w:p>
      <w:pPr>
        <w:ind w:left="1181"/>
        <w:spacing w:after="0"/>
        <w:rPr>
          <w:sz w:val="20"/>
          <w:szCs w:val="20"/>
          <w:color w:val="auto"/>
        </w:rPr>
      </w:pPr>
      <w:r>
        <w:rPr>
          <w:rFonts w:ascii="Times New Roman" w:cs="Times New Roman" w:eastAsia="Times New Roman" w:hAnsi="Times New Roman"/>
          <w:sz w:val="18"/>
          <w:szCs w:val="18"/>
          <w:color w:val="auto"/>
        </w:rPr>
        <w:t>2,952</w:t>
      </w:r>
    </w:p>
    <w:p>
      <w:pPr>
        <w:spacing w:after="0" w:line="31" w:lineRule="exact"/>
        <w:rPr>
          <w:sz w:val="20"/>
          <w:szCs w:val="20"/>
          <w:color w:val="auto"/>
        </w:rPr>
      </w:pPr>
    </w:p>
    <w:p>
      <w:pPr>
        <w:ind w:left="1101"/>
        <w:spacing w:after="0"/>
        <w:rPr>
          <w:sz w:val="20"/>
          <w:szCs w:val="20"/>
          <w:color w:val="auto"/>
        </w:rPr>
      </w:pPr>
      <w:r>
        <w:rPr>
          <w:rFonts w:ascii="Times New Roman" w:cs="Times New Roman" w:eastAsia="Times New Roman" w:hAnsi="Times New Roman"/>
          <w:sz w:val="18"/>
          <w:szCs w:val="18"/>
          <w:color w:val="auto"/>
        </w:rPr>
        <w:t>10,872</w:t>
      </w:r>
    </w:p>
    <w:p>
      <w:pPr>
        <w:spacing w:after="0" w:line="293" w:lineRule="exact"/>
        <w:rPr>
          <w:sz w:val="20"/>
          <w:szCs w:val="20"/>
          <w:color w:val="auto"/>
        </w:rPr>
      </w:pPr>
    </w:p>
    <w:p>
      <w:pPr>
        <w:ind w:left="1101" w:hanging="1101"/>
        <w:spacing w:after="0"/>
        <w:tabs>
          <w:tab w:leader="none" w:pos="110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101155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10115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19" w:space="720"/>
            <w:col w:w="1701"/>
          </w:cols>
          <w:pgMar w:left="320" w:top="873" w:right="339" w:bottom="5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540" w:gutter="0" w:footer="0" w:header="0"/>
          <w:type w:val="continuous"/>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BUSINESS COMBINATION AND OTHER TRANSACTION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18"/>
          <w:szCs w:val="18"/>
          <w:color w:val="auto"/>
        </w:rPr>
        <w:t>The allocation of the purchase price to net assets acquired and liability assumed resulted in the recognition of intangible asset related to retained radiologists of $17,770 thousand, customers’ relationship of $1,322 thousand, trademark of $2,095 thousand and goodwill of $7,055 thousand, which is primarily attributed to the expected synergies from combining the operations of teleradiology services with the Company’s tomographic imaging systems. As such, goodwill will be assigned to the operational segment of radiology services. The intangible asset related to retained radiologists has a useful-life of 11.17 years, the intangible asset related to customers’ relationship has a useful-life of 6.17 years and the intangible asset related to the trademark has a useful-life of 12.17 years. This fair value measurement is based on significant unobservable inputs in the market and thus represents a Level 3 measurement within the fair value hierarchy. The fair value of the contingent consideration is based on several factors, such as: the cash flows projected from the success of achievements of several achievement and payment of milestone events; the time and resources needed to achieve those milestones and the risk adjusted discount rate for fair value measurement. A probability of success factor was used in the fair value calculation to reflect inherent regulatory and commercial risk of the contingent payments. The weighted average discount rate, calculated based on the relative fair value of the contingent consideration liabilities, was 21.9%. The contingent consideration is evaluated quarterly, or more frequently, if circumstances dictate. Changes in the fair value of contingent consideration are recorded in consolidated statements of income. Significant changes in unobservable inputs, mainly the probability of success and cash flows projected, could result in material changes to the contingent consideration liabilities. The amount of the acquisition-related costs was approximately $198 thousand which was recognized as an expense in the general and administration expenses.</w:t>
      </w:r>
    </w:p>
    <w:p>
      <w:pPr>
        <w:spacing w:after="0" w:line="19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Pro forma results of operations related to the USARAD acquisition have not been prepared because they are not material to the Company’s consolidated financial statements.</w:t>
      </w:r>
    </w:p>
    <w:p>
      <w:pPr>
        <w:spacing w:after="0" w:line="162" w:lineRule="exact"/>
        <w:rPr>
          <w:sz w:val="20"/>
          <w:szCs w:val="20"/>
          <w:color w:val="auto"/>
        </w:rPr>
      </w:pPr>
    </w:p>
    <w:p>
      <w:pPr>
        <w:ind w:left="1300" w:hanging="320"/>
        <w:spacing w:after="0"/>
        <w:tabs>
          <w:tab w:leader="none" w:pos="130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Assets acquisition of MDWEB LLC.</w:t>
      </w:r>
    </w:p>
    <w:p>
      <w:pPr>
        <w:spacing w:after="0" w:line="225" w:lineRule="exact"/>
        <w:rPr>
          <w:rFonts w:ascii="Times New Roman" w:cs="Times New Roman" w:eastAsia="Times New Roman" w:hAnsi="Times New Roman"/>
          <w:sz w:val="18"/>
          <w:szCs w:val="18"/>
          <w:b w:val="1"/>
          <w:bCs w:val="1"/>
          <w:color w:val="auto"/>
        </w:rPr>
      </w:pPr>
    </w:p>
    <w:p>
      <w:pPr>
        <w:jc w:val="both"/>
        <w:ind w:left="13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3, 2021, the Company completed the acquisition of the market platform and other assets of MDWEB, LLC (“MDWEB”), pursuant to the terms of the Asset Purchase Agreement, dated October 21, 2021, between the Company and MDWEB. At the same date, the Company issued 64,715 of its ordinary shares to MDWEB with an estimated fair value of $1,500 thousand. In addition, upon the successful achievement of certain milestones related to technical integration of MDW platform with the Nanox.CLOUD and achieving certain other operational targets, the Company will pay additional stock consideration in the amount of up to $1,500 thousand at a per share value determined by the average closing price of the 30 trading days ending on the applicable milestone’s achievement date. In addition, upon the successful achievement of certain milestones and other operational performance-based earnouts over 2 years, the Company will pay stock consideration in the amount of up to $1,500 thousand at a per share value determined by the average closing price of; (i) closing price of the 30 trading days ending on the applicable milestone’s achievement date: and (ii) the volume weighted average closing share price of the 30 trading days prior to the closing date. The Company will amortize the intangible assets on a straight-line basis over their expected useful life of 4 years. Refer to note 2h.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GOODWILL &amp; INTANGIBLE ASSETS,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during the periods ended December 31, 2022 and 2021 (U.S.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Radiology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of Operation</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AI Solutions</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from acquisition of USARAD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7,055</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from acquisition of Nanox AI</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51,243</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51,243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58,298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the Goodwill related to the acquisition of Nanox AI</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(50,878)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(50,878)</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7,420</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goodwill balance related to the acquisitions of Nanox AI and USARAD is not deductible for tax purposes.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assessments for the year ended December 31, 2022</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AI solutions reporting unit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During the second quarter of 2022, in light of triggering events arising from the increase of the discount rate and changes in the Company’s estimates as a result of business specific considerations, the Company performed a quantitative interim assessment for goodwill impairment for the Company’s AI solutions reporting unit. The amount of goodwill assigned to the AI solutions reporting unit on the interim testing date, which had not changed from the amount assigned to such unit on the acquisition date, was $51,243 thousand. When evaluating the fair value of the AI solutions reporting unit under the income approach, the Company used a discounted cash flow model which utilized Level 3 measures that represent unobservable inputs. Key assumptions used to determine the estimated fair value include: (a) internal cash flows forecasts for 5 years following the assessment date, including expected revenue growth, costs to sales and operating expenses; (b) an estimated terminal value using a terminal year long-term future growth rate of 3.0% determined based on the growth prospects of the reporting unit; and (c) a discount rate of 22.0% which reflects the weighted-average cost of capital adjusted for the relevant risk associated with the AI solutions reporting unit’s operations and the uncertainty inherent in the Company’s internally developed forecasts. Specifically, as part of the Company’s interim impairment test, in making the assumptions mentioned in clauses (a) and (b) above, the Company considered (1) the efforts and time required for the AI solutions reporting unit to achieve financial stability, (2) its estimate that it would take approximately one year for such unit to generate any material revenue and two years to achieve profitability; and (3) its estimate that it would take longer than we originally expected for such unit to generate material revenues, gross profit, and positive operating cash flows, especially from its population health applications. As a result of the impairment assessment, the Company concluded that the fair value of the AI solutions reporting unit decreased below its carrying value by 11.61%, and therefore the Company recorded a goodwill impairment charge of $14,338 thousand in the second quarter of 2022. As a result, the remaining amount of goodwill assigned to the AI solutions reporting unit at June 30, 2022 was $36,905 thousand.</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fourth quarter of 2022, the Company performed a qualitative and quantitative annual assessment for goodwill impairment. Based on its qualitative analysis, which considered the AI solutions reporting unit results, projections and additional business and industry specific considerations, the Company performed a further revision of the estimates of the fair value of the AI solutions reporting unit. As part of this analysis, the Company also considered the potential impacts of the sensitivity of estimates and assumptions. When evaluating the fair value of the AI solutions reporting unit under the income approach, the Company used the same discounted cash flow model discussed above; however, in clause (c) the resulting cash flow amounts were discounted using a discount rate of 22.50%. As a result of the impairment assessment, the Company concluded that the fair value of the AI solutions reporting unit decreased below its carrying value by 34.44%, and therefore we recorded an additional goodwill impairment charge of $36,540 thousand in the fourth quarter of 2022. As a result, the amount of goodwill assigned to the AI solutions reporting unit on December 31, 2022, was $365 thousand.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 evaluating the fair value of the AI solutions reporting unit under the discounted cash flow approach, the Company used a discounted cash flow model which utilized Level 3 measures that represent unobservable inputs. Key assumptions used to determine the estimated fair value include: (a) internal cash flows forecasts for 5 years following the assessment date, including expected revenue growth, costs of sales and operating expenses; (b) an estimated terminal value using a terminal year long-term future growth rate determined based on the growth prospects of the reporting unit; and (c) a discount rate which reflects the weighted-average cost of capital adjusted for the relevant risk associated with the AI solutions reporting unit’s operations and the uncertainty inherent in the Company’s internally developed forecasts.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Actual results may differ from those assumed in the Company’s valuation method. It is reasonably possible that the Company’s assumptions described above could change in future periods. If any of these were to vary materially from the Company’s plans, the Company may record impairment of goodwill allocated to this reporting unit in the future. A hypothetical decrease in the terminal growth rate of 0.5% or an increase of 0.5% to the discount rate would have reduced the fair value of AI Solutions reporting unit by approximately $1.0 million and $2.9 million,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06"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GOODWILL &amp; INTANGIBLE ASSETS, NET: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Radiology services reporting unit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fourth quarter of 2022, the Company performed its annual impairment test for goodwill impairment. The Company performed a quantitative assessment for goodwill impairment for the Company’s radiology services reporting unit and concluded that the fair value of the radiology services reporting unit exceeded its carrying amount by approximately 5.3%, with a carrying amount of goodwill assigned to this reporting unit in an amount of $7,055 thousand. When evaluating the fair value of the radiology services reporting unit under the income approach, the Company used a discounted cash flow model which utilized Level 3 measures that represent unobservable inputs. Key assumptions used to determine the estimated fair value include: (a) internal cash flows forecasts for 5 years following the assessment date, including expected revenue growth, costs of sales and operating expenses; (b) an estimated terminal value using a terminal year long-term future growth rate of 3% determined based on the growth prospects of the reporting unit; and (c) a discount rate of 27.5% which reflects the weighted-average cost of capital adjusted for the relevant risk associated with the radiology services reporting unit’s operations and the uncertainty inherent in the Company’s internally developed forecasts.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Actual results may differ from those assumed in the Company’s valuation method. It is reasonably possible that the Company’s assumptions described above could change in future periods. If any of these were to vary materially from the Company’s plans, the Company may record impairment of goodwill allocated to this reporting unit in the future. A hypothetical decrease in the growth rate of 0.5% or an increase of 0.5% to the discount rate would reduce the fair value of the radiology services reporting unit by approximately $0.3 million and $0.6 million, respectively.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the percentage by which the estimated fair value of the Company’s reporting units exceeded the carrying value was as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Goodwill</w:t>
            </w: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Goodwill</w:t>
            </w:r>
          </w:p>
        </w:tc>
      </w:t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from</w:t>
            </w: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from</w:t>
            </w:r>
          </w:p>
        </w:tc>
      </w:tr>
      <w:tr>
        <w:trPr>
          <w:trHeight w:val="216"/>
        </w:trPr>
        <w:tc>
          <w:tcPr>
            <w:tcW w:w="8600" w:type="dxa"/>
            <w:vAlign w:val="bottom"/>
          </w:tcPr>
          <w:p>
            <w:pPr>
              <w:spacing w:after="0"/>
              <w:rPr>
                <w:sz w:val="18"/>
                <w:szCs w:val="18"/>
                <w:color w:val="auto"/>
              </w:rPr>
            </w:pPr>
          </w:p>
        </w:tc>
        <w:tc>
          <w:tcPr>
            <w:tcW w:w="13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acquisition of</w:t>
            </w: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acquisition of</w:t>
            </w:r>
          </w:p>
        </w:tc>
      </w:t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Nanox AI</w:t>
            </w: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USARAD</w:t>
            </w:r>
          </w:p>
        </w:tc>
      </w:tr>
      <w:tr>
        <w:trPr>
          <w:trHeight w:val="241"/>
        </w:trPr>
        <w:tc>
          <w:tcPr>
            <w:tcW w:w="8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Unit #1</w:t>
            </w:r>
          </w:p>
        </w:tc>
        <w:tc>
          <w:tcPr>
            <w:tcW w:w="12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Unit #2</w:t>
            </w:r>
          </w:p>
        </w:tc>
      </w:tr>
      <w:tr>
        <w:trPr>
          <w:trHeight w:val="216"/>
        </w:trPr>
        <w:tc>
          <w:tcPr>
            <w:tcW w:w="86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 Assigned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3"/>
              </w:rPr>
              <w:t>7,055</w:t>
            </w:r>
          </w:p>
        </w:tc>
        <w:tc>
          <w:tcPr>
            <w:tcW w:w="160" w:type="dxa"/>
            <w:vAlign w:val="bottom"/>
            <w:tcBorders>
              <w:top w:val="single" w:sz="8" w:color="CCEEFF"/>
            </w:tcBorders>
            <w:shd w:val="clear" w:color="auto" w:fill="CCEEFF"/>
          </w:tcPr>
          <w:p>
            <w:pPr>
              <w:spacing w:after="0"/>
              <w:rPr>
                <w:sz w:val="18"/>
                <w:szCs w:val="18"/>
                <w:color w:val="auto"/>
              </w:rPr>
            </w:pPr>
          </w:p>
        </w:tc>
      </w:tr>
      <w:tr>
        <w:trPr>
          <w:trHeight w:val="236"/>
        </w:trPr>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Fair Value/Carrying Amount</w:t>
            </w: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100.00%</w:t>
            </w:r>
          </w:p>
        </w:tc>
        <w:tc>
          <w:tcPr>
            <w:tcW w:w="120" w:type="dxa"/>
            <w:vAlign w:val="bottom"/>
          </w:tcPr>
          <w:p>
            <w:pPr>
              <w:spacing w:after="0"/>
              <w:rPr>
                <w:sz w:val="20"/>
                <w:szCs w:val="20"/>
                <w:color w:val="auto"/>
              </w:rPr>
            </w:pPr>
          </w:p>
        </w:tc>
        <w:tc>
          <w:tcPr>
            <w:tcW w:w="1140" w:type="dxa"/>
            <w:vAlign w:val="bottom"/>
            <w:gridSpan w:val="2"/>
          </w:tcPr>
          <w:p>
            <w:pPr>
              <w:ind w:left="580"/>
              <w:spacing w:after="0"/>
              <w:rPr>
                <w:sz w:val="20"/>
                <w:szCs w:val="20"/>
                <w:color w:val="auto"/>
              </w:rPr>
            </w:pPr>
            <w:r>
              <w:rPr>
                <w:rFonts w:ascii="Times New Roman" w:cs="Times New Roman" w:eastAsia="Times New Roman" w:hAnsi="Times New Roman"/>
                <w:sz w:val="18"/>
                <w:szCs w:val="18"/>
                <w:i w:val="1"/>
                <w:iCs w:val="1"/>
                <w:color w:val="auto"/>
                <w:w w:val="97"/>
              </w:rPr>
              <w:t>105.3%</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impairment assessment for the year ended December 31, 2021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2021, the Company evaluated that there was no notable change in qualitative factors due to the short period of time that had lapsed from the acquisition date through December 31, 2021. Therefore, the Company did not determine that it was more likely than not that the fair value of each reporting unit was less than its carrying amount. As such, the Company concluded that no further impairment testing was required for either reporting unit as of December 31, 2021.</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3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240" w:type="dxa"/>
            <w:vAlign w:val="bottom"/>
          </w:tcPr>
          <w:p>
            <w:pPr>
              <w:spacing w:after="0"/>
              <w:rPr>
                <w:sz w:val="21"/>
                <w:szCs w:val="21"/>
                <w:color w:val="auto"/>
              </w:rPr>
            </w:pPr>
          </w:p>
        </w:tc>
        <w:tc>
          <w:tcPr>
            <w:tcW w:w="15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Net carrying amount</w:t>
            </w:r>
          </w:p>
        </w:tc>
      </w:tr>
      <w:tr>
        <w:trPr>
          <w:trHeight w:val="236"/>
        </w:trPr>
        <w:tc>
          <w:tcPr>
            <w:tcW w:w="32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220" w:type="dxa"/>
            <w:vAlign w:val="bottom"/>
            <w:tcBorders>
              <w:top w:val="single" w:sz="8" w:color="auto"/>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8"/>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(U.S. $ in millions)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27,316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27,316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3,187</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26,861</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Image big data</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52,500</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52,500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6,125</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51,625</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platform</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2,591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2,591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2,483</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Radiologist relationships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17,770</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17,770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1,856</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17,505</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2,066</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3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1,286</w:t>
            </w:r>
          </w:p>
        </w:tc>
      </w:tr>
      <w:tr>
        <w:trPr>
          <w:trHeight w:val="27"/>
        </w:trPr>
        <w:tc>
          <w:tcPr>
            <w:tcW w:w="3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3500" w:type="dxa"/>
            <w:vAlign w:val="bottom"/>
            <w:gridSpan w:val="2"/>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103,594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103,594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12,375</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91,219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101,826</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3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F-26</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GOODWILL &amp; INTANGIBLE ASSETS, NET: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Intangible assets with estimable useful lives are amortized over their respective estimated useful lives to their estimated residual values and reviewed periodically for impairment. Amortization expenses were $10,607 thousand and $1,768 thousand and $0 for the years ended December 31, 2022 2021 and 2020,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of intangible assets for each of the next five years and thereafter is expected to be as follows (U.S. dollars in thousands):</w:t>
      </w:r>
    </w:p>
    <w:p>
      <w:pPr>
        <w:sectPr>
          <w:pgSz w:w="11900" w:h="16838" w:orient="portrait"/>
          <w:cols w:equalWidth="0" w:num="1">
            <w:col w:w="11240"/>
          </w:cols>
          <w:pgMar w:left="320" w:top="873" w:right="339" w:bottom="1440" w:gutter="0" w:footer="0" w:header="0"/>
        </w:sect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2027 and thereafter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Composition of property and equipment grouped by major classifications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1260" w:hanging="615"/>
        <w:spacing w:after="0"/>
        <w:tabs>
          <w:tab w:leader="none" w:pos="12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10,607</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10,607</w:t>
      </w:r>
    </w:p>
    <w:p>
      <w:pPr>
        <w:spacing w:after="0" w:line="9"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10,498</w:t>
      </w:r>
    </w:p>
    <w:p>
      <w:pPr>
        <w:spacing w:after="0" w:line="9"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9,959</w:t>
      </w:r>
    </w:p>
    <w:p>
      <w:pPr>
        <w:spacing w:after="0" w:line="9"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49,548</w:t>
      </w:r>
    </w:p>
    <w:p>
      <w:pPr>
        <w:spacing w:after="0" w:line="58" w:lineRule="exact"/>
        <w:rPr>
          <w:sz w:val="20"/>
          <w:szCs w:val="20"/>
          <w:color w:val="auto"/>
        </w:rPr>
      </w:pPr>
    </w:p>
    <w:p>
      <w:pPr>
        <w:ind w:left="1260" w:hanging="615"/>
        <w:spacing w:after="0"/>
        <w:tabs>
          <w:tab w:leader="none" w:pos="1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17145</wp:posOffset>
            </wp:positionV>
            <wp:extent cx="70294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409575</wp:posOffset>
            </wp:positionH>
            <wp:positionV relativeFrom="paragraph">
              <wp:posOffset>43180</wp:posOffset>
            </wp:positionV>
            <wp:extent cx="70294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sectPr>
          <w:pgSz w:w="11900" w:h="16838" w:orient="portrait"/>
          <w:cols w:equalWidth="0" w:num="2">
            <w:col w:w="8660" w:space="720"/>
            <w:col w:w="186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8680" w:type="dxa"/>
            <w:vAlign w:val="bottom"/>
          </w:tcPr>
          <w:p>
            <w:pPr>
              <w:spacing w:after="0"/>
              <w:rPr>
                <w:sz w:val="16"/>
                <w:szCs w:val="16"/>
                <w:color w:val="auto"/>
              </w:rPr>
            </w:pPr>
          </w:p>
        </w:tc>
        <w:tc>
          <w:tcPr>
            <w:tcW w:w="1700" w:type="dxa"/>
            <w:vAlign w:val="bottom"/>
            <w:gridSpan w:val="3"/>
          </w:tcPr>
          <w:p>
            <w:pPr>
              <w:ind w:left="7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(U.S. Dollars</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2560" w:type="dxa"/>
            <w:vAlign w:val="bottom"/>
            <w:gridSpan w:val="6"/>
          </w:tcPr>
          <w:p>
            <w:pPr>
              <w:ind w:left="70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86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lab equipment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721</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electronic equipment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1,304</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machinery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4,326</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647</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Land – See b below</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6,314</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6,314</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line– See b below</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31,740</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26,790</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45,208</w:t>
            </w: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38,303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(1,663)</w:t>
            </w:r>
          </w:p>
        </w:tc>
        <w:tc>
          <w:tcPr>
            <w:tcW w:w="36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(868)</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property and equipment, net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43,545</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37,435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ind w:left="980" w:hanging="324"/>
        <w:spacing w:after="0" w:line="266" w:lineRule="auto"/>
        <w:tabs>
          <w:tab w:leader="none" w:pos="98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depreciation in respect of property and equipment were approximately $905 thousand, $524 thousand and $208 thousand for the years ended December 31, 2022, 2021 and 2020, respectively. An impairment charge in the amount of $172 thousand and $214 thousand was recorded for the years ended December 31, 2022 and 2021, respectively in relation to the Company’s Property, Plant and Equipment.</w:t>
      </w:r>
    </w:p>
    <w:p>
      <w:pPr>
        <w:spacing w:after="0" w:line="175"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8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2020, Nanox Korea purchased land for approximately $6,314 thousand upon which it built a fabrication facility. In 2021, Nanox Korea completed the construction of the permanent fabrication plant.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CASH, CASH EQUIVALENTS AND RESTRICTED CASH:</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on the consolidated balance sheet that sum to the same total amount as shown in the consolidated statement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720" w:type="dxa"/>
            <w:vAlign w:val="bottom"/>
            <w:gridSpan w:val="3"/>
          </w:tcPr>
          <w:p>
            <w:pPr>
              <w:jc w:val="center"/>
              <w:ind w:left="6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(U.S. Dollars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38,463</w:t>
            </w: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bank deposit (1)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statement of cash flows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38,529</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66,772</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and 2021, the Company’s restricted cash consisted of a bank deposit that was denominated in New Israeli Shekel. Restricted deposit is presented at cost including accrued interest. This bank deposit is used as security for credit card use and collateralizing the Company’s lease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2022, the Company has several operating building and car lease agreements:</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Company’s principal executive offices are located in a leased facility in Neve Ilan, Israel. The Company leases approximately 550 square meters (approximately 5,920 square feet) of office space and warehouses. The original lease expired in December 2021, and the Company exercised the option to extend its lease for an additional 24 months until December 31, 2023. The Company leases approximately 620 square meters (approximately 6,670 square feet) of office space in Neve Ilan, Israel, that is used for offices and technical development. The lease expires in June 2023. In November 2020, the Company leased an additional approximately 370 square meters (approximately 3,980 square feet) of office space in Neve-Ilan, Israel. This lease also expires in June 2023. In March 2022, the Company signed a new agreement to lease 105 square meters (approximately 1,130 square feet) of office space in Neve-Ilan, Israel until February 2025. The monthly rent payment for all the lease premises in Neve-Ilan, Israel is approximately $42 thousand.</w:t>
      </w:r>
    </w:p>
    <w:p>
      <w:pPr>
        <w:spacing w:after="0" w:line="19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leases vehicles to some of its employees. The lease agreement is effective through July 2025 and the monthly payment for this agreement is approximately $9 thousand.</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Nanox Korea leases 3 vehicles to some employees. These lease agreements are effective through February 2024 and the monthly payment for these agreements is approximately $4 thousand. Nanox Korea leases an apartment for its employees. The lease agreement is effective through November 2024 and the monthly payment for this agreement is approximately $1 thousand.</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2021, Nanox Korea leased approximately 390 square meters of space for a temporary fabrication facility and approximately 200 square meters of space for a research and development center in Korea. During 2021 this lease ended due to the transfer of the temporary fabrication facility to the Company’s permanent fabrication facility in Yongin, Geonggi province.</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Nanox AI leases its offices in Israel under an operating lease agreement which expires in November 2024. Nanox AI has an option to extend the period for an additional 24 months through November 2026. Nanox AI concluded that it is not reasonably certain that it will exercise the renewal option. Accordingly, such renewal option was not included in determining the lease term. The monthly rent payment for this agreement is approximately $19 thousand.</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Nanox Imaging Inc. leases its offices in the U.S. under operating lease agreement which expires on December 31, 2024. The monthly rent payment for this agreement is approximately $6 thousand.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monthly rent payment is approximately $81 thousand.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0" w:name="page161"/>
    <w:bookmarkEnd w:id="160"/>
    <w:p>
      <w:pPr>
        <w:jc w:val="center"/>
        <w:ind w:left="3240"/>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NOTES TO THE FINANCIAL STATEMENTS (continued)</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LEASES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effects on the amounts relating to the Company’s total lease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supplemental cash flow information related to operating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14605</wp:posOffset>
            </wp:positionV>
            <wp:extent cx="72009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 Dollars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5715</wp:posOffset>
            </wp:positionV>
            <wp:extent cx="72009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937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72</w:t>
      </w:r>
    </w:p>
    <w:p>
      <w:pPr>
        <w:spacing w:after="0" w:line="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1,009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50165</wp:posOffset>
            </wp:positionV>
            <wp:extent cx="72009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20"/>
        <w:spacing w:after="0" w:line="266" w:lineRule="auto"/>
        <w:rPr>
          <w:sz w:val="20"/>
          <w:szCs w:val="20"/>
          <w:color w:val="auto"/>
        </w:rPr>
      </w:pPr>
      <w:r>
        <w:rPr>
          <w:rFonts w:ascii="Times New Roman" w:cs="Times New Roman" w:eastAsia="Times New Roman" w:hAnsi="Times New Roman"/>
          <w:sz w:val="18"/>
          <w:szCs w:val="18"/>
          <w:b w:val="1"/>
          <w:bCs w:val="1"/>
          <w:color w:val="auto"/>
        </w:rPr>
        <w:t>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-1905</wp:posOffset>
            </wp:positionV>
            <wp:extent cx="70294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jc w:val="both"/>
        <w:ind w:right="120" w:firstLine="13"/>
        <w:spacing w:after="0" w:line="317" w:lineRule="auto"/>
        <w:rPr>
          <w:sz w:val="20"/>
          <w:szCs w:val="20"/>
          <w:color w:val="auto"/>
        </w:rPr>
      </w:pPr>
      <w:r>
        <w:rPr>
          <w:rFonts w:ascii="Times New Roman" w:cs="Times New Roman" w:eastAsia="Times New Roman" w:hAnsi="Times New Roman"/>
          <w:sz w:val="17"/>
          <w:szCs w:val="17"/>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-38735</wp:posOffset>
            </wp:positionV>
            <wp:extent cx="70294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4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653</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48</w:t>
      </w:r>
    </w:p>
    <w:p>
      <w:pPr>
        <w:spacing w:after="0" w:line="58"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43180</wp:posOffset>
            </wp:positionV>
            <wp:extent cx="70294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3">
            <w:col w:w="8000" w:space="720"/>
            <w:col w:w="1080" w:space="260"/>
            <w:col w:w="1160"/>
          </w:cols>
          <w:pgMar w:left="320" w:top="8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803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cash flows used in operating leases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14605</wp:posOffset>
            </wp:positionV>
            <wp:extent cx="72009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 Dollars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5715</wp:posOffset>
            </wp:positionV>
            <wp:extent cx="72009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43180</wp:posOffset>
            </wp:positionV>
            <wp:extent cx="72009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20"/>
        <w:spacing w:after="0" w:line="266" w:lineRule="auto"/>
        <w:rPr>
          <w:sz w:val="20"/>
          <w:szCs w:val="20"/>
          <w:color w:val="auto"/>
        </w:rPr>
      </w:pPr>
      <w:r>
        <w:rPr>
          <w:rFonts w:ascii="Times New Roman" w:cs="Times New Roman" w:eastAsia="Times New Roman" w:hAnsi="Times New Roman"/>
          <w:sz w:val="18"/>
          <w:szCs w:val="18"/>
          <w:b w:val="1"/>
          <w:bCs w:val="1"/>
          <w:color w:val="auto"/>
        </w:rPr>
        <w:t>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-1905</wp:posOffset>
            </wp:positionV>
            <wp:extent cx="70294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jc w:val="both"/>
        <w:ind w:right="120" w:firstLine="25"/>
        <w:spacing w:after="0" w:line="286" w:lineRule="auto"/>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-24130</wp:posOffset>
            </wp:positionV>
            <wp:extent cx="70294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43180</wp:posOffset>
            </wp:positionV>
            <wp:extent cx="70294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000" w:space="720"/>
            <w:col w:w="1080" w:space="260"/>
            <w:col w:w="1160"/>
          </w:cols>
          <w:pgMar w:left="320" w:top="873" w:right="35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 (non-cash):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leases</w:t>
      </w:r>
    </w:p>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table below presents supplemental balance sheet information related to operating leases:</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320</w:t>
      </w:r>
      <w:r>
        <w:rPr>
          <w:sz w:val="20"/>
          <w:szCs w:val="20"/>
          <w:color w:val="auto"/>
        </w:rPr>
        <w:tab/>
      </w: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17145</wp:posOffset>
            </wp:positionV>
            <wp:extent cx="1560195" cy="431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687" w:lineRule="exact"/>
        <w:rPr>
          <w:sz w:val="20"/>
          <w:szCs w:val="20"/>
          <w:color w:val="auto"/>
        </w:rPr>
      </w:pPr>
    </w:p>
    <w:p>
      <w:pPr>
        <w:sectPr>
          <w:pgSz w:w="11900" w:h="16838" w:orient="portrait"/>
          <w:cols w:equalWidth="0" w:num="2">
            <w:col w:w="8820" w:space="720"/>
            <w:col w:w="1680"/>
          </w:cols>
          <w:pgMar w:left="320" w:top="87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maturities of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operating leases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14605</wp:posOffset>
            </wp:positionV>
            <wp:extent cx="72009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 Dollars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5715</wp:posOffset>
            </wp:positionV>
            <wp:extent cx="72009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1,157</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740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398</w:t>
      </w:r>
    </w:p>
    <w:p>
      <w:pPr>
        <w:spacing w:after="0" w:line="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1,138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50165</wp:posOffset>
            </wp:positionV>
            <wp:extent cx="72009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4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wp:posOffset>
            </wp:positionV>
            <wp:extent cx="70294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7" w:lineRule="exact"/>
        <w:rPr>
          <w:sz w:val="20"/>
          <w:szCs w:val="20"/>
          <w:color w:val="auto"/>
        </w:rPr>
      </w:pPr>
    </w:p>
    <w:p>
      <w:pPr>
        <w:jc w:val="both"/>
        <w:ind w:right="120" w:firstLine="25"/>
        <w:spacing w:after="0" w:line="286" w:lineRule="auto"/>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-24130</wp:posOffset>
            </wp:positionV>
            <wp:extent cx="70294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6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1,725</w:t>
      </w:r>
    </w:p>
    <w:p>
      <w:pPr>
        <w:spacing w:after="0" w:line="22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881</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950</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43180</wp:posOffset>
            </wp:positionV>
            <wp:extent cx="70294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000" w:space="720"/>
            <w:col w:w="1080" w:space="260"/>
            <w:col w:w="1160"/>
          </w:cols>
          <w:pgMar w:left="320" w:top="873" w:right="35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00" w:lineRule="exact"/>
        <w:rPr>
          <w:sz w:val="20"/>
          <w:szCs w:val="20"/>
          <w:color w:val="auto"/>
        </w:rPr>
      </w:pPr>
    </w:p>
    <w:p>
      <w:pPr>
        <w:spacing w:after="0" w:line="223" w:lineRule="exact"/>
        <w:rPr>
          <w:sz w:val="20"/>
          <w:szCs w:val="20"/>
          <w:color w:val="auto"/>
        </w:rPr>
      </w:pPr>
    </w:p>
    <w:p>
      <w:pPr>
        <w:jc w:val="right"/>
        <w:ind w:right="208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21"/>
                <w:szCs w:val="21"/>
                <w:color w:val="auto"/>
              </w:rPr>
            </w:pPr>
          </w:p>
        </w:tc>
      </w:tr>
      <w:tr>
        <w:trPr>
          <w:trHeight w:val="432"/>
        </w:trPr>
        <w:tc>
          <w:tcPr>
            <w:tcW w:w="13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1.52</w:t>
            </w:r>
          </w:p>
        </w:tc>
        <w:tc>
          <w:tcPr>
            <w:tcW w:w="12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2.14</w:t>
            </w:r>
          </w:p>
        </w:tc>
      </w:tr>
      <w:tr>
        <w:trPr>
          <w:trHeight w:val="648"/>
        </w:trPr>
        <w:tc>
          <w:tcPr>
            <w:tcW w:w="13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5.84%</w:t>
            </w:r>
          </w:p>
        </w:tc>
        <w:tc>
          <w:tcPr>
            <w:tcW w:w="12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4"/>
              </w:rPr>
              <w:t>5.70%</w:t>
            </w:r>
          </w:p>
        </w:tc>
      </w:tr>
    </w:tbl>
    <w:p>
      <w:pPr>
        <w:sectPr>
          <w:pgSz w:w="11900" w:h="16838" w:orient="portrait"/>
          <w:cols w:equalWidth="0" w:num="2">
            <w:col w:w="7880" w:space="720"/>
            <w:col w:w="2620"/>
          </w:cols>
          <w:pgMar w:left="320" w:top="873" w:right="359" w:bottom="1440" w:gutter="0" w:footer="0" w:header="0"/>
          <w:type w:val="continuous"/>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NANO-X IMAGING LTD.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8"/>
              </w:rPr>
              <w:t>NOTES TO THE FINANCIAL STATEMENTS (continued)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7 - LEASES </w:t>
            </w:r>
            <w:r>
              <w:rPr>
                <w:rFonts w:ascii="Times New Roman" w:cs="Times New Roman" w:eastAsia="Times New Roman" w:hAnsi="Times New Roman"/>
                <w:sz w:val="18"/>
                <w:szCs w:val="18"/>
                <w:color w:val="auto"/>
              </w:rPr>
              <w:t>(continued):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presents maturities of operating lease liabilities: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0020" w:type="dxa"/>
            <w:vAlign w:val="bottom"/>
          </w:tcPr>
          <w:p>
            <w:pPr>
              <w:spacing w:after="0"/>
              <w:rPr>
                <w:sz w:val="24"/>
                <w:szCs w:val="24"/>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100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020" w:type="dxa"/>
            <w:vAlign w:val="bottom"/>
          </w:tcPr>
          <w:p>
            <w:pPr>
              <w:spacing w:after="0"/>
              <w:rPr>
                <w:sz w:val="16"/>
                <w:szCs w:val="16"/>
                <w:color w:val="auto"/>
              </w:rPr>
            </w:pPr>
          </w:p>
        </w:tc>
        <w:tc>
          <w:tcPr>
            <w:tcW w:w="1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(U.S. Dollars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020" w:type="dxa"/>
            <w:vAlign w:val="bottom"/>
          </w:tcPr>
          <w:p>
            <w:pPr>
              <w:spacing w:after="0"/>
              <w:rPr>
                <w:sz w:val="21"/>
                <w:szCs w:val="21"/>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2026 and thereafter</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0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DEFERRED REVENUE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represents the changes in deferred revenue for the year ended December 31, 2022 and December 31, 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(U.S. Dollars</w:t>
            </w:r>
          </w:p>
        </w:tc>
        <w:tc>
          <w:tcPr>
            <w:tcW w:w="0" w:type="dxa"/>
            <w:vAlign w:val="bottom"/>
          </w:tcPr>
          <w:p>
            <w:pPr>
              <w:spacing w:after="0"/>
              <w:rPr>
                <w:sz w:val="1"/>
                <w:szCs w:val="1"/>
                <w:color w:val="auto"/>
              </w:rPr>
            </w:pPr>
          </w:p>
        </w:tc>
      </w:tr>
      <w:tr>
        <w:trPr>
          <w:trHeight w:val="245"/>
        </w:trPr>
        <w:tc>
          <w:tcPr>
            <w:tcW w:w="10020" w:type="dxa"/>
            <w:vAlign w:val="bottom"/>
          </w:tcPr>
          <w:p>
            <w:pPr>
              <w:spacing w:after="0"/>
              <w:rPr>
                <w:sz w:val="21"/>
                <w:szCs w:val="21"/>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Increase due to the business combinations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in the reported period</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in the reported period -</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7"/>
        </w:trPr>
        <w:tc>
          <w:tcPr>
            <w:tcW w:w="10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2022 (**)</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500" w:firstLine="8"/>
        <w:spacing w:after="0" w:line="578" w:lineRule="auto"/>
        <w:tabs>
          <w:tab w:leader="none" w:pos="324"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$415 thousand under long term deferred revenue in the Company’s consolidated balance sheets as of December 31, 2021. ** Includes $398 thousand under long term deferred revenue in the Company’s consolidated balance sheets as of December 31, 2022.</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8"/>
        </w:trPr>
        <w:tc>
          <w:tcPr>
            <w:tcW w:w="8100" w:type="dxa"/>
            <w:vAlign w:val="bottom"/>
            <w:gridSpan w:val="2"/>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NANO-X IMAGING LTD.</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00" w:type="dxa"/>
            <w:vAlign w:val="bottom"/>
            <w:gridSpan w:val="2"/>
          </w:tcPr>
          <w:p>
            <w:pPr>
              <w:jc w:val="center"/>
              <w:ind w:left="3050"/>
              <w:spacing w:after="0"/>
              <w:rPr>
                <w:sz w:val="20"/>
                <w:szCs w:val="20"/>
                <w:color w:val="auto"/>
              </w:rPr>
            </w:pPr>
            <w:r>
              <w:rPr>
                <w:rFonts w:ascii="Times New Roman" w:cs="Times New Roman" w:eastAsia="Times New Roman" w:hAnsi="Times New Roman"/>
                <w:sz w:val="18"/>
                <w:szCs w:val="18"/>
                <w:color w:val="auto"/>
                <w:w w:val="98"/>
              </w:rPr>
              <w:t>NOTES TO THE FINANCIAL STATEMENTS (continued)</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00" w:type="dxa"/>
            <w:vAlign w:val="bottom"/>
            <w:gridSpan w:val="2"/>
          </w:tcPr>
          <w:p>
            <w:pPr>
              <w:jc w:val="center"/>
              <w:ind w:left="307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 RELATED PARTIES: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Related party balances at December 31, 2022 and December 31, 2021 consisted of the following:</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Due from Illumigyn</w:t>
            </w:r>
          </w:p>
        </w:tc>
        <w:tc>
          <w:tcPr>
            <w:tcW w:w="3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 Due from Wellsense Technologies Ltd.</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 Due from Six-Eye Interactive</w:t>
            </w:r>
          </w:p>
        </w:tc>
        <w:tc>
          <w:tcPr>
            <w:tcW w:w="3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Due from Six AI ltd.</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e) Due from Musashi</w:t>
            </w:r>
          </w:p>
        </w:tc>
        <w:tc>
          <w:tcPr>
            <w:tcW w:w="36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from related parties</w:t>
            </w: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gridSpan w:val="2"/>
            <w:vMerge w:val="continue"/>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b.  Related parties transactions:</w:t>
            </w: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1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 Dollars in thousands)</w:t>
            </w:r>
          </w:p>
        </w:tc>
        <w:tc>
          <w:tcPr>
            <w:tcW w:w="8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 see c below</w:t>
            </w:r>
          </w:p>
        </w:tc>
        <w:tc>
          <w:tcPr>
            <w:tcW w:w="780" w:type="dxa"/>
            <w:vAlign w:val="bottom"/>
            <w:shd w:val="clear" w:color="auto" w:fill="CCEEFF"/>
          </w:tcPr>
          <w:p>
            <w:pPr>
              <w:spacing w:after="0"/>
              <w:rPr>
                <w:sz w:val="22"/>
                <w:szCs w:val="22"/>
                <w:color w:val="auto"/>
              </w:rPr>
            </w:pPr>
          </w:p>
        </w:tc>
        <w:tc>
          <w:tcPr>
            <w:tcW w:w="600" w:type="dxa"/>
            <w:vAlign w:val="bottom"/>
            <w:tcBorders>
              <w:right w:val="single" w:sz="8" w:color="CCEEFF"/>
            </w:tcBorders>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General and administrative – see d and e below</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80" w:hanging="324"/>
        <w:spacing w:after="0"/>
        <w:tabs>
          <w:tab w:leader="none" w:pos="98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Six AI Ltd Service agreement</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16, 2020, the Company entered into an agreement with SixAI Ltd. (hereinafter,-“SixAI”) a company controlled by Ran Poliakine, the Company’s former Chief Executive Officer and a chairman of the Company’s board of directors for certain software development and mechanical engineering services. The service agreement was effective as of March 1, 2020 and has been extended by mutual agreement of the parties several times, until terminated at December 31, 2021. During the years ended December 31, 2022, 2021 and 2020, the Company recorded an expense of $0, $80 thousand, and $355 thousand, respectively. Mr. Poliakine currently serves as a member of the board of directors of SixAI and Mr. Poliakine is a significant shareholder of SixAI.</w:t>
      </w:r>
    </w:p>
    <w:p>
      <w:pPr>
        <w:spacing w:after="0" w:line="18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Illumigyn Ltd.</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Illumigyn Ltd (hereinafter, – “Illumigyn”) is a company in which Ran Poliakine, the Company’s former Chief Executive Officer and a member of the Company’s board of directors, is a significant shareholder. Ms. Noga Kainan, a member of the Company’s board of directors serves as a member of the board of directors of Illumigyn, and Anat Kaphan, the Company’s former Chief Innovation Officer currently who serves as a member of the advisory board of the Company, also serves as a consultant to Illumigyn. Since November 1, 2019, Illumigyn sub-leased in transaction approximately 1,800 square feet of private office space, including access to shared public spaces, from the office spaces which the Company leases in Neve Ilan, Israel. Illumigyn pays approximately $12 thousand per month. During the years ended December 31, 2022, 2021 and 2020, the Company received approximately $171 thousand, $125 thousand and $163 thousand, respectively, in relation to the sub lease.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RELATED PARTY LIABILITY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Wellsense Technologies Ltd.</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Wellsense Technologies Ltd.(hereinafter, “Wellsense”) is a company in which Ran Poliakine, the Company’s former Chief Executive Officer and a member of the Company’s board of directors, is a shareholder. Since February 2020, Wellsense has sub-leased private office space, including access to shared public spaces, from the Company in Neve Ilan, Israel. Wellsense pays approximately $7.0 thousand per month. During the years ended December 31, 2022, 2021 and 2020, the Company received $47 thousand, $66 thousand and $59 thousand, respectively, in relation to the sub lease.</w:t>
      </w:r>
    </w:p>
    <w:p>
      <w:pPr>
        <w:spacing w:after="0" w:line="17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entered into an employment agreement with Ran Poliakine, the Company’s founder, Chairman of the Board of Directors, and former Chief Executive Officer. Pursuant to the agreement, if the Company terminates Ran Poliakine’s employment and waives his obligation to perform services during the notice period of 180 days, Ran Poliakine will be entitled to receive payments of his base salary and social benefits in lieu of notice for the waived period, up to the full notice period for an immediate termination. The agreement provides Ran Poliakine with a gross monthly base salary equal to $40 thousand which was increased to $60 thousand upon the consummation of the Company’s initial public offering. Ran Poliakine served as the Company’s Chief Executive Officer through December 31, 2021.</w:t>
      </w:r>
    </w:p>
    <w:p>
      <w:pPr>
        <w:spacing w:after="0" w:line="187" w:lineRule="exact"/>
        <w:rPr>
          <w:rFonts w:ascii="Times New Roman" w:cs="Times New Roman" w:eastAsia="Times New Roman" w:hAnsi="Times New Roman"/>
          <w:sz w:val="18"/>
          <w:szCs w:val="18"/>
          <w:b w:val="1"/>
          <w:bCs w:val="1"/>
          <w:color w:val="auto"/>
        </w:rPr>
      </w:pPr>
    </w:p>
    <w:p>
      <w:pPr>
        <w:jc w:val="both"/>
        <w:ind w:left="9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27, 2021, the Company and Erez Meltzer entered into an employment agreement, pursuant to which Mr. Meltzer agreed to serve as the Company’s new Chief Executive Officer (the “Meltzer Employment Agreement”). The Meltzer Employment Agreement commenced and became effective as of January 1, 2022 and shall continue for an indefinite period until it is terminated by either party. Pursuant to the terms of the Meltzer Employment Agreement, Mr. Meltzer will receive an annual base salary of nine hundred ($900) thousand dollars per year, and will be eligible for an annual incentive payment of up to one hundred percent (100%) of his base salary, which of them $450 thousand were guaranteed for the 2022 fiscal year if his employment is continued through the entire fiscal year, and were withdrawn during 2022 as an advance payment on account of the 2022 annual bonus, subject to full recourse (clawback) if the bonus is not earned; Accordingly, in 2022, Mr. Meltzer was paid seven hundred ($700) thousand dollars on the account of his 2022 annual bonus, subject to resource (clawback) as described above. Mr. Meltzer will be entitled to customary social benefits under Israeli law and practice pursuant to which the Company shall insure the CEO with a manager’s insurance policy or a pension fund, or a combination of both (whereby each will apply partially), all according to his election; Mr. Meltzer will be granted options to purchase 300,000 Ordinary Shares (the “Options”) which will vested equally over a period of 48 months as long as Mr. Meltzer will be employed by the Company. The Options shall be subject to the Company’s 2019 Equity Incentive plan and, to the extent possible, be granted pursuant to Section 102 of the Israeli Income Tax Ordinance, 5721-1961. The exercise price of the Options shall be $23.84 per share, a share price equals to the 30-day average of the Company’s share price on NASDAQ, prior to the date of approval of the CEO’s employment agreement by the Board on September 27, 2021. Such amount may be paid by the CEO by way of a cashless exercise mechanism. The agreement calls for a 6 months’ mutual notice of termination and 270 days if the Company provides notice during the first year of employment (except for “Cause” as defined in the employment agreement, in which case no prior notice will be required).</w:t>
      </w:r>
    </w:p>
    <w:p>
      <w:pPr>
        <w:spacing w:after="0" w:line="18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 Agreement</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2021, the shareholders of the Company approved the entry into an agreement with Floyd Katske, effective as of October 1, 2020, whereby Floyd Katske will assist the Chief Executive Officer and the Company with various tasks given his medical knowledge, expertise and experience, as may be requested from time-to-time by the Company’s Chief Executive Officer. These tasks were in addition and unrelated to his role as a member of the board of directors of the Company. Floyd Katske was paid with respect to such services $200 per hour, against an invoice. The services were limited to 100 hours in any calendar month, according to hours approved by the Chairman. In addition, Floyd Katske was paid cash compensation consisting of RSUs granted in each calendar quarter, in the amount calculated by dividing (i) two times the cash compensation paid during such quarter as aforesaid by (ii) the fair market value of the Company’s ordinary shares on the last trading day of such quarter. All tax consequences were borne by Floyd Katske. During the year ended December 31, 2022, the agreement was terminated and the Company recorded an expense of $47 thousand in research and development expenses with regards to the services provided by Floyd Katske.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LONG TERM LOAN</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During September 2021, Nanox Korea entered into a 3 year Loan agreement with a Korean Bank, according to which the Bank granted the Company a loan in the amount of $3.8 million. The loan bears an annual interest at a rate of 3 months KORIBOR and 1.149%, whereas interest payments are due on a monthly basis and the principal is due at the end of the loan term. The bank received a floating charge on the Nanox Korea’s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w:t>
      </w:r>
    </w:p>
    <w:p>
      <w:pPr>
        <w:spacing w:after="0" w:line="176"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In September 2020, two securities class action complaints were filed in the United States District Court for the Eastern District of New York against the Company and certain current officers and a director, which were subsequently consolidated and captioned as White v. Nano-X Imaging Ltd. et al, Case No. 1:20-cv-04355, alleging violations of securities laws on behalf of all persons and entities that purchased or otherwise acquired the Company’s publicly traded securities between August 21, 2020 and September 15, 2020, and seeking unspecified damages. On December 7, 2020, proposed lead plaintiffs submissions were fully briefed and remain outstanding. On August 10, 2022, Magistrate Judge Marcia M. Henry issued a Report and Recommendation, recommending that the Court approve Derson O. Jolteus and Edward Ko as lead plaintiffs, and on August 30, 2022, Judge William Kuntz adopted the Report and Recommendation. On June 24, 2022, the Company moved to consolidate this action with the action captioned McLaughlin v. Nano-X Imaging Ltd. et al, Case No: 1:21-cv-05517, discussed further below. The Company’s motion to consolidate remains outstanding. On October 31, 2022, Lead Plaintiffs filed an amended complaint, which alleges that defendants violated the federal securities laws in connection with certain disclosures regarding the Company’s FDA submission and customer contracts. Lead Plaintiffs seek to represent a class of investors who purchased the Company’s publicly traded securities between August 21, 2020 and September 15, 2020. On February 3, 2023, the Company moved to stay this action in favor of the McLaughlin action, or, in the alternative, until the Company’s pending motion to consolidate was decided. The Company has not yet responded to the amended complaint.</w:t>
      </w:r>
    </w:p>
    <w:p>
      <w:pPr>
        <w:spacing w:after="0" w:line="18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On October 5, 2021, a class action complaint was filed in the United States District Court for the Eastern District of New York against the Company and certain of its officers, captioned McLaughlin v. Nano-X Imaging Ltd. et al, Case No. 1:21-cv-05517. The plaintiff asserts claims on behalf of persons and entities that purchased or otherwise acquired the Company’s securities between June 17, 2021 and August 18, 2021, seeking unspecified damages. The plaintiff alleges that the defendants made materially false and misleading statements concerning the Company’s business, operations and compliance policies beginning on June 17, 2021, based on the Company’s U.S. Food and Drug Administration submissions. On April 12, 2022 and in the same case, the Lead Plaintiff filed an amended complaint, which alleges that defendants violated the federal securities laws in connection with certain disclosures concerning the cost of the Nanox.ARC system as well as the comparison of the Nanox.ARC to CT scanners. Lead Plaintiff seeks to represent a class of investors who purchased the Company’s publicly-traded securities between August 21, 2020 and November 17, 2021. The Company moved to dismiss the amended complaint, and briefing on that motion was completed on September 9, 2022, and it remains outstanding. As of December 31, 2022, the Company has accrued an amount of $8,000 thousand in connection with the above referenced complaints (refer to Note 16).</w:t>
      </w:r>
    </w:p>
    <w:p>
      <w:pPr>
        <w:spacing w:after="0" w:line="19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On October 28, 2021, a complaint was filed in the United States District Court for the Central District of California against the Company, Nanox Imaging Inc.and Nanox Gibraltar from which the Company received certain assets, as well as Mr. Ran Poliakine and certain other unidentified parties, alleging several causes of action including breach of a consulting agreement between the plaintiff and Gibraltar that was entered into in 2015. The plaintiff demanded payment of unpaid consulting fees from Gibraltar in the amount of approximately $1 million and approximately $29.5 million from the Company relating to his claimed entitlement to warrants in Nanox Gibraltar. On February 15, 2022, the Company moved to dismiss the complaint on the grounds, among others, that it was not a party to the agreement with the plaintiff, and it is not Nanox Gibraltar’s legal successor for any liabilities that Nanox Gibraltar may owe to the plaintiff. On June 4, 2022, the Court granted the motion to dismiss with leave to amend. The plaintiff did not amend the complaint, and on July 20, 2022, the Court entered judgment in the Company’s favor.</w:t>
      </w:r>
    </w:p>
    <w:p>
      <w:pPr>
        <w:spacing w:after="0" w:line="19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Division of Enforcement of the U.S. Securities &amp; Exchange Commission (the “SEC”) has notified the Company that it is conducting an investigation to determine whether there had been any violations of the federal securities laws. The Company has been providing documents and information to the SEC and has received a subpoena from the SEC requesting that the Company provide documents and other information relating to the development cost of the Company’s Nanox.ARC prototypes, as well as the Company’s estimate for the cost of assembling the final Nanox.ARC product at scale, among other things. The Company is cooperating with the SEC in responding to its requests. As of December 31, 2022, the duration and outcome of this matter cannot be predicted, and the Company is unable to estimate a loss or range of loss of this Investigation.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SHAREHOLDERS’ EQUITY:</w:t>
      </w:r>
    </w:p>
    <w:p>
      <w:pPr>
        <w:spacing w:after="0" w:line="225" w:lineRule="exact"/>
        <w:rPr>
          <w:sz w:val="20"/>
          <w:szCs w:val="20"/>
          <w:color w:val="auto"/>
        </w:rPr>
      </w:pPr>
    </w:p>
    <w:p>
      <w:pPr>
        <w:ind w:left="1300" w:hanging="320"/>
        <w:spacing w:after="0"/>
        <w:tabs>
          <w:tab w:leader="none" w:pos="130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holder of the Company’s ordinary shares, par value NIS 0.01 per share, is entitled to one vote. The holders of ordinary shares are also entitled to receive dividends whenever funds are legally available and declared by the Company’s Board of Directors (the “Board”). Since inception, the Company has not declared any dividends.</w:t>
      </w:r>
    </w:p>
    <w:p>
      <w:pPr>
        <w:spacing w:after="0" w:line="175"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number of authorized and issued and outstanding shares as of each reporting date for each class of shares: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54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94"/>
        </w:trPr>
        <w:tc>
          <w:tcPr>
            <w:tcW w:w="59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Issued and</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Issued and</w:t>
            </w:r>
          </w:p>
        </w:tc>
        <w:tc>
          <w:tcPr>
            <w:tcW w:w="100" w:type="dxa"/>
            <w:vAlign w:val="bottom"/>
            <w:gridSpan w:val="2"/>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11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100,000,000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55,094,237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100,000,000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51,791,441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100,000,000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55,094,237</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100,000,000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51,791,441</w:t>
            </w:r>
          </w:p>
        </w:tc>
        <w:tc>
          <w:tcPr>
            <w:tcW w:w="80" w:type="dxa"/>
            <w:vAlign w:val="bottom"/>
          </w:tcPr>
          <w:p>
            <w:pPr>
              <w:spacing w:after="0"/>
              <w:rPr>
                <w:sz w:val="20"/>
                <w:szCs w:val="20"/>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 January 2, 2022, the Company issued 2,953 RSUs to its Chief Executive Officer for services rendered prior to 2022.</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On January 19, 2022, the Company issued 89,286 shares to the former shareholders of Nanox AI due to partial achievement of a milestone that occurred post-closing.</w:t>
      </w:r>
    </w:p>
    <w:p>
      <w:pPr>
        <w:spacing w:after="0" w:line="162"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On December 29, 2022, the Company entered into a settlement with respect to any additional amount that could be granted under the Agreement, according to which the Company issued Nanox AI’s former shareholders an additional 2,648,424 ordinary shares (representing additional consideration of approximately $18,617 thousand). As a result of the settlement, both parties’ performance obligations under the Agreement have been satisfied in full.</w:t>
      </w:r>
    </w:p>
    <w:p>
      <w:pPr>
        <w:spacing w:after="0" w:line="176" w:lineRule="exact"/>
        <w:rPr>
          <w:sz w:val="20"/>
          <w:szCs w:val="20"/>
          <w:color w:val="auto"/>
        </w:rPr>
      </w:pPr>
    </w:p>
    <w:p>
      <w:pPr>
        <w:ind w:left="1300" w:right="7900" w:hanging="320"/>
        <w:spacing w:after="0" w:line="532" w:lineRule="auto"/>
        <w:tabs>
          <w:tab w:leader="none" w:pos="1300"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based compensation </w:t>
      </w:r>
      <w:r>
        <w:rPr>
          <w:rFonts w:ascii="Times New Roman" w:cs="Times New Roman" w:eastAsia="Times New Roman" w:hAnsi="Times New Roman"/>
          <w:sz w:val="17"/>
          <w:szCs w:val="17"/>
          <w:u w:val="single" w:color="auto"/>
          <w:color w:val="auto"/>
        </w:rPr>
        <w:t>Share based compensation</w:t>
      </w:r>
    </w:p>
    <w:p>
      <w:pPr>
        <w:spacing w:after="0" w:line="1" w:lineRule="exact"/>
        <w:rPr>
          <w:rFonts w:ascii="Times New Roman" w:cs="Times New Roman" w:eastAsia="Times New Roman" w:hAnsi="Times New Roman"/>
          <w:sz w:val="17"/>
          <w:szCs w:val="17"/>
          <w:b w:val="1"/>
          <w:bCs w:val="1"/>
          <w:color w:val="auto"/>
        </w:rPr>
      </w:pPr>
    </w:p>
    <w:p>
      <w:pPr>
        <w:jc w:val="both"/>
        <w:ind w:left="130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September 3, 2019, the Company’s board of directors resolved to adopt an equity incentive plan (the “Plan”). Based on such Plan, each option will be exercisable for one ordinary share of the Company and will become exercisable at such terms and during such periods, as the Company’s board of directors shall determine. Pursuant to the Plan (and further increase of option pool approved by the Company’s board of directors), 8,041,936 ordinary shares of NIS 0.01 par value of the Company are reserved for issuance upon the exercise of the same amount of awards to be granted to some of the Company’s employees, directors and consultants.</w:t>
      </w:r>
    </w:p>
    <w:p>
      <w:pPr>
        <w:spacing w:after="0" w:line="183" w:lineRule="exact"/>
        <w:rPr>
          <w:rFonts w:ascii="Times New Roman" w:cs="Times New Roman" w:eastAsia="Times New Roman" w:hAnsi="Times New Roman"/>
          <w:sz w:val="17"/>
          <w:szCs w:val="17"/>
          <w:b w:val="1"/>
          <w:bCs w:val="1"/>
          <w:color w:val="auto"/>
        </w:rPr>
      </w:pPr>
    </w:p>
    <w:p>
      <w:pPr>
        <w:jc w:val="both"/>
        <w:ind w:left="130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2022, there were 1,504,472 ordinary shares reserved for the equity incentive plan. The Company’s board of directors also approved the Plan for the purpose of selecting the capital gains tax track, under Section 102 of the Israeli Income Tax Ordinance, for options granted to the Company’s Israeli employees.</w:t>
      </w:r>
    </w:p>
    <w:p>
      <w:pPr>
        <w:spacing w:after="0" w:line="175" w:lineRule="exact"/>
        <w:rPr>
          <w:rFonts w:ascii="Times New Roman" w:cs="Times New Roman" w:eastAsia="Times New Roman" w:hAnsi="Times New Roman"/>
          <w:sz w:val="17"/>
          <w:szCs w:val="17"/>
          <w:b w:val="1"/>
          <w:bCs w:val="1"/>
          <w:color w:val="auto"/>
        </w:rPr>
      </w:pPr>
    </w:p>
    <w:p>
      <w:pPr>
        <w:ind w:left="13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2022, there is an unrecognized share-based compensation expense of $17,061 thousand to be recognized over the average remaining vesting period of 2.44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 SHAREHOLDERS’ EQUITY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Share-based compensation to non-employees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summarizes share-based awards to non-employees for the period ended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480" w:type="dxa"/>
            <w:vAlign w:val="bottom"/>
            <w:tcBorders>
              <w:bottom w:val="single" w:sz="8" w:color="auto"/>
            </w:tcBorders>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share-based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2,324,243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17.63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(423,702)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(82,469)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11.86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1,838,072</w:t>
            </w:r>
          </w:p>
        </w:tc>
        <w:tc>
          <w:tcPr>
            <w:tcW w:w="1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8.77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Aggregate intrinsic value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1,582,254</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Aggregate intrinsic value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The fair value of each granted award is estimated at the date of grant using the Black-Scholes option-pricing model. The assumptions used for the year ended December 31, 2022 and year ended at December 31, 2021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60" w:type="dxa"/>
            <w:vAlign w:val="bottom"/>
          </w:tcPr>
          <w:p>
            <w:pPr>
              <w:spacing w:after="0"/>
              <w:rPr>
                <w:sz w:val="18"/>
                <w:szCs w:val="18"/>
                <w:color w:val="auto"/>
              </w:rPr>
            </w:pPr>
          </w:p>
        </w:tc>
      </w:tr>
      <w:tr>
        <w:trPr>
          <w:trHeight w:val="216"/>
        </w:trPr>
        <w:tc>
          <w:tcPr>
            <w:tcW w:w="84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r>
      <w:tr>
        <w:trPr>
          <w:trHeight w:val="245"/>
        </w:trPr>
        <w:tc>
          <w:tcPr>
            <w:tcW w:w="84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52.37-52.75 %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52.71%</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3.45-3.51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expected volatility is based on the historical volatility of comparable companies. The risk-free interest rate assumption is based on observed interest rates appropriate for the expected term of the awards granted in dollar terms. The Company does not have sufficient historical exercise data to provide a reasonable basis upon which to estimate expected term. Accordingly, as to ordinary course options granted, the expected term was determined using the simplified method, which takes into consideration the option’s contractual life and the vesting periods (for non-employees, the expected term is equal to the option’s contractual life).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 SHAREHOLDERS’ EQUITY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following table summarizes information concerning outstanding and exercisable awards as of December 31, 2022:</w:t>
      </w:r>
    </w:p>
    <w:p>
      <w:pPr>
        <w:spacing w:after="0" w:line="2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26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Awards outstanding</w:t>
            </w:r>
          </w:p>
        </w:tc>
        <w:tc>
          <w:tcPr>
            <w:tcW w:w="20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240" w:type="dxa"/>
            <w:vAlign w:val="bottom"/>
            <w:tcBorders>
              <w:top w:val="single" w:sz="8" w:color="auto"/>
              <w:bottom w:val="single" w:sz="8" w:color="auto"/>
            </w:tcBorders>
            <w:gridSpan w:val="3"/>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Awards exercisable</w:t>
            </w:r>
          </w:p>
        </w:tc>
        <w:tc>
          <w:tcPr>
            <w:tcW w:w="100" w:type="dxa"/>
            <w:vAlign w:val="bottom"/>
          </w:tcPr>
          <w:p>
            <w:pPr>
              <w:spacing w:after="0"/>
              <w:rPr>
                <w:sz w:val="21"/>
                <w:szCs w:val="21"/>
                <w:color w:val="auto"/>
              </w:rPr>
            </w:pPr>
          </w:p>
        </w:tc>
      </w:tr>
      <w:tr>
        <w:trPr>
          <w:trHeight w:val="194"/>
        </w:trPr>
        <w:tc>
          <w:tcPr>
            <w:tcW w:w="4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0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222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0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award</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30"/>
        </w:trPr>
        <w:tc>
          <w:tcPr>
            <w:tcW w:w="420" w:type="dxa"/>
            <w:vAlign w:val="bottom"/>
          </w:tcPr>
          <w:p>
            <w:pPr>
              <w:spacing w:after="0"/>
              <w:rPr>
                <w:sz w:val="19"/>
                <w:szCs w:val="19"/>
                <w:color w:val="auto"/>
              </w:rPr>
            </w:pPr>
          </w:p>
        </w:tc>
        <w:tc>
          <w:tcPr>
            <w:tcW w:w="19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at end of</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at end of</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r>
      <w:tr>
        <w:trPr>
          <w:trHeight w:val="245"/>
        </w:trPr>
        <w:tc>
          <w:tcPr>
            <w:tcW w:w="420" w:type="dxa"/>
            <w:vAlign w:val="bottom"/>
          </w:tcPr>
          <w:p>
            <w:pPr>
              <w:spacing w:after="0"/>
              <w:rPr>
                <w:sz w:val="21"/>
                <w:szCs w:val="21"/>
                <w:color w:val="auto"/>
              </w:rPr>
            </w:pPr>
          </w:p>
        </w:tc>
        <w:tc>
          <w:tcPr>
            <w:tcW w:w="19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 (years)</w:t>
            </w:r>
          </w:p>
        </w:tc>
      </w:tr>
      <w:tr>
        <w:trPr>
          <w:trHeight w:val="216"/>
        </w:trPr>
        <w:tc>
          <w:tcPr>
            <w:tcW w:w="4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w:t>
            </w:r>
          </w:p>
        </w:tc>
        <w:tc>
          <w:tcPr>
            <w:tcW w:w="2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1,483,416</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7.71</w:t>
            </w:r>
          </w:p>
        </w:tc>
        <w:tc>
          <w:tcPr>
            <w:tcW w:w="2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1,399,414</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r>
      <w:tr>
        <w:trPr>
          <w:trHeight w:val="216"/>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16.00</w:t>
            </w: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156,484</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w:t>
            </w:r>
          </w:p>
        </w:tc>
        <w:tc>
          <w:tcPr>
            <w:tcW w:w="2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101,410</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17.63</w:t>
            </w:r>
          </w:p>
        </w:tc>
        <w:tc>
          <w:tcPr>
            <w:tcW w:w="2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w:t>
            </w:r>
          </w:p>
        </w:tc>
        <w:tc>
          <w:tcPr>
            <w:tcW w:w="2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23.19</w:t>
            </w: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21,000</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w:t>
            </w:r>
          </w:p>
        </w:tc>
        <w:tc>
          <w:tcPr>
            <w:tcW w:w="2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5,250</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w:t>
            </w:r>
          </w:p>
        </w:tc>
      </w:tr>
      <w:tr>
        <w:trPr>
          <w:trHeight w:val="216"/>
        </w:trPr>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23.84</w:t>
            </w:r>
          </w:p>
        </w:tc>
        <w:tc>
          <w:tcPr>
            <w:tcW w:w="2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8.88</w:t>
            </w:r>
          </w:p>
        </w:tc>
        <w:tc>
          <w:tcPr>
            <w:tcW w:w="2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w:t>
            </w:r>
          </w:p>
        </w:tc>
      </w:tr>
      <w:tr>
        <w:trPr>
          <w:trHeight w:val="216"/>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30.93</w:t>
            </w: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w:t>
            </w:r>
          </w:p>
        </w:tc>
        <w:tc>
          <w:tcPr>
            <w:tcW w:w="2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r>
      <w:tr>
        <w:trPr>
          <w:trHeight w:val="216"/>
        </w:trPr>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40.21</w:t>
            </w:r>
          </w:p>
        </w:tc>
        <w:tc>
          <w:tcPr>
            <w:tcW w:w="2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7,172</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8.19</w:t>
            </w:r>
          </w:p>
        </w:tc>
        <w:tc>
          <w:tcPr>
            <w:tcW w:w="2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4,930</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w:t>
            </w:r>
          </w:p>
        </w:tc>
      </w:tr>
      <w:tr>
        <w:trPr>
          <w:trHeight w:val="234"/>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49.68</w:t>
            </w: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8.05</w:t>
            </w:r>
          </w:p>
        </w:tc>
        <w:tc>
          <w:tcPr>
            <w:tcW w:w="2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43,750</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w:t>
            </w:r>
          </w:p>
        </w:tc>
      </w:tr>
      <w:tr>
        <w:trPr>
          <w:trHeight w:val="637"/>
        </w:trPr>
        <w:tc>
          <w:tcPr>
            <w:tcW w:w="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color w:val="auto"/>
              </w:rPr>
              <w:t>F-36</w:t>
            </w: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 SHAREHOLDERS’ EQUITY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Share-based compensation to employees, officers and directors</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During 2022, the Company granted to certain employees, officers and directors awards to purchase 1,266,803 of the Company’s ordinary shares for an average exercise price of $19.00. Most of the awards agreement term is 10 years unless the agreement is terminated with 3 or 4 years vesting period with a one-year cliff.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share-based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2,760,930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1,266,803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(141,384)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(608,511)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6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3,277,838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intrinsic value</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68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5,660</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1,364,777</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intrinsic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5,221</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fair value of each granted award is estimated at the date of grant using the Black-Scholes option-pricing model. The assumptions used as of December 31, 2022 and 2021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20" w:type="dxa"/>
            <w:vAlign w:val="bottom"/>
          </w:tcPr>
          <w:p>
            <w:pPr>
              <w:spacing w:after="0"/>
              <w:rPr>
                <w:sz w:val="21"/>
                <w:szCs w:val="21"/>
                <w:color w:val="auto"/>
              </w:rPr>
            </w:pPr>
          </w:p>
        </w:tc>
        <w:tc>
          <w:tcPr>
            <w:tcW w:w="61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920" w:type="dxa"/>
            <w:vAlign w:val="bottom"/>
          </w:tcPr>
          <w:p>
            <w:pPr>
              <w:spacing w:after="0"/>
              <w:rPr>
                <w:sz w:val="18"/>
                <w:szCs w:val="18"/>
                <w:color w:val="auto"/>
              </w:rPr>
            </w:pPr>
          </w:p>
        </w:tc>
        <w:tc>
          <w:tcPr>
            <w:tcW w:w="12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8"/>
                <w:szCs w:val="18"/>
                <w:color w:val="auto"/>
              </w:rPr>
            </w:pPr>
          </w:p>
        </w:tc>
        <w:tc>
          <w:tcPr>
            <w:tcW w:w="11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50.75% - 52.69%</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50.27%-51.84%</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1.52% - 4.34%</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0.66%-1.61%</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6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5.52-10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6.25</w:t>
            </w:r>
          </w:p>
        </w:tc>
      </w:tr>
      <w:tr>
        <w:trPr>
          <w:trHeight w:val="655"/>
        </w:trPr>
        <w:tc>
          <w:tcPr>
            <w:tcW w:w="35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3"/>
          </w:tcPr>
          <w:p>
            <w:pPr>
              <w:jc w:val="right"/>
              <w:ind w:right="4140"/>
              <w:spacing w:after="0"/>
              <w:rPr>
                <w:sz w:val="20"/>
                <w:szCs w:val="20"/>
                <w:color w:val="auto"/>
              </w:rPr>
            </w:pPr>
            <w:r>
              <w:rPr>
                <w:rFonts w:ascii="Times New Roman" w:cs="Times New Roman" w:eastAsia="Times New Roman" w:hAnsi="Times New Roman"/>
                <w:sz w:val="18"/>
                <w:szCs w:val="18"/>
                <w:color w:val="auto"/>
              </w:rPr>
              <w:t>F-37</w:t>
            </w: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 SHAREHOLDERS’ EQUITY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The expected volatility is based on the historical volatility of comparable companies. The risk-free interest rate assumption is based on observed interest rates appropriate for the expected term of the awards granted in dollar terms. The Company does not have sufficient historical exercise data to provide a reasonable basis upon which to estimate expected term. Accordingly, as to ordinary course options granted, the expected term was determined using the simplified method, which takes into consideration the option’s contractual life and the vesting periods. The following table summarizes information concerning outstanding and exercisable awards as of December 31, 2022 and 2021: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0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Awards outstanding</w:t>
            </w:r>
          </w:p>
        </w:tc>
        <w:tc>
          <w:tcPr>
            <w:tcW w:w="2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40" w:type="dxa"/>
            <w:vAlign w:val="bottom"/>
            <w:tcBorders>
              <w:top w:val="single" w:sz="8" w:color="auto"/>
            </w:tcBorders>
            <w:gridSpan w:val="4"/>
          </w:tcPr>
          <w:p>
            <w:pPr>
              <w:ind w:left="1320"/>
              <w:spacing w:after="0"/>
              <w:rPr>
                <w:sz w:val="20"/>
                <w:szCs w:val="20"/>
                <w:color w:val="auto"/>
              </w:rPr>
            </w:pPr>
            <w:r>
              <w:rPr>
                <w:rFonts w:ascii="Times New Roman" w:cs="Times New Roman" w:eastAsia="Times New Roman" w:hAnsi="Times New Roman"/>
                <w:sz w:val="18"/>
                <w:szCs w:val="18"/>
                <w:b w:val="1"/>
                <w:bCs w:val="1"/>
                <w:color w:val="auto"/>
              </w:rPr>
              <w:t>Awards exercisable</w:t>
            </w:r>
          </w:p>
        </w:tc>
      </w:tr>
      <w:tr>
        <w:trPr>
          <w:trHeight w:val="194"/>
        </w:trPr>
        <w:tc>
          <w:tcPr>
            <w:tcW w:w="50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120" w:type="dxa"/>
            <w:vAlign w:val="bottom"/>
            <w:tcBorders>
              <w:top w:val="single" w:sz="8" w:color="auto"/>
            </w:tcBorders>
          </w:tcPr>
          <w:p>
            <w:pPr>
              <w:jc w:val="center"/>
              <w:ind w:lef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020" w:type="dxa"/>
            <w:vAlign w:val="bottom"/>
            <w:tcBorders>
              <w:top w:val="single" w:sz="8" w:color="auto"/>
            </w:tcBorders>
          </w:tcPr>
          <w:p>
            <w:pPr>
              <w:jc w:val="center"/>
              <w:ind w:left="1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0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29"/>
        </w:trPr>
        <w:tc>
          <w:tcPr>
            <w:tcW w:w="500" w:type="dxa"/>
            <w:vAlign w:val="bottom"/>
          </w:tcPr>
          <w:p>
            <w:pPr>
              <w:spacing w:after="0"/>
              <w:rPr>
                <w:sz w:val="19"/>
                <w:szCs w:val="19"/>
                <w:color w:val="auto"/>
              </w:rPr>
            </w:pPr>
          </w:p>
        </w:tc>
        <w:tc>
          <w:tcPr>
            <w:tcW w:w="20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at end of</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00" w:type="dxa"/>
            <w:vAlign w:val="bottom"/>
          </w:tcPr>
          <w:p>
            <w:pPr>
              <w:spacing w:after="0"/>
              <w:rPr>
                <w:sz w:val="19"/>
                <w:szCs w:val="19"/>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at end of</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r>
      <w:tr>
        <w:trPr>
          <w:trHeight w:val="245"/>
        </w:trPr>
        <w:tc>
          <w:tcPr>
            <w:tcW w:w="500" w:type="dxa"/>
            <w:vAlign w:val="bottom"/>
          </w:tcPr>
          <w:p>
            <w:pPr>
              <w:spacing w:after="0"/>
              <w:rPr>
                <w:sz w:val="21"/>
                <w:szCs w:val="21"/>
                <w:color w:val="auto"/>
              </w:rPr>
            </w:pPr>
          </w:p>
        </w:tc>
        <w:tc>
          <w:tcPr>
            <w:tcW w:w="20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life (years)</w:t>
            </w:r>
          </w:p>
        </w:tc>
        <w:tc>
          <w:tcPr>
            <w:tcW w:w="100" w:type="dxa"/>
            <w:vAlign w:val="bottom"/>
          </w:tcPr>
          <w:p>
            <w:pPr>
              <w:spacing w:after="0"/>
              <w:rPr>
                <w:sz w:val="21"/>
                <w:szCs w:val="21"/>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life (years)</w:t>
            </w:r>
          </w:p>
        </w:tc>
      </w:tr>
      <w:tr>
        <w:trPr>
          <w:trHeight w:val="216"/>
        </w:trPr>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0.00-0.01</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28,952*)</w:t>
            </w:r>
          </w:p>
        </w:tc>
        <w:tc>
          <w:tcPr>
            <w:tcW w:w="16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8"/>
                <w:szCs w:val="18"/>
                <w:color w:val="auto"/>
              </w:rPr>
            </w:pP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1,053,594</w:t>
            </w:r>
          </w:p>
        </w:tc>
        <w:tc>
          <w:tcPr>
            <w:tcW w:w="2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6.95</w:t>
            </w:r>
          </w:p>
        </w:tc>
        <w:tc>
          <w:tcPr>
            <w:tcW w:w="2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982,445</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r>
      <w:tr>
        <w:trPr>
          <w:trHeight w:val="216"/>
        </w:trPr>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110,999</w:t>
            </w:r>
          </w:p>
        </w:tc>
        <w:tc>
          <w:tcPr>
            <w:tcW w:w="2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8.45</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43,967</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tcPr>
          <w:p>
            <w:pPr>
              <w:spacing w:after="0"/>
              <w:rPr>
                <w:sz w:val="18"/>
                <w:szCs w:val="18"/>
                <w:color w:val="auto"/>
              </w:rPr>
            </w:pP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897,265</w:t>
            </w:r>
          </w:p>
        </w:tc>
        <w:tc>
          <w:tcPr>
            <w:tcW w:w="2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9.63</w:t>
            </w:r>
          </w:p>
        </w:tc>
        <w:tc>
          <w:tcPr>
            <w:tcW w:w="2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20,738</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23.19</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189,000</w:t>
            </w:r>
          </w:p>
        </w:tc>
        <w:tc>
          <w:tcPr>
            <w:tcW w:w="2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8.78</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47,250</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8.78</w:t>
            </w:r>
          </w:p>
        </w:tc>
      </w:tr>
      <w:tr>
        <w:trPr>
          <w:trHeight w:val="216"/>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23.42</w:t>
            </w:r>
          </w:p>
        </w:tc>
        <w:tc>
          <w:tcPr>
            <w:tcW w:w="120" w:type="dxa"/>
            <w:vAlign w:val="bottom"/>
          </w:tcPr>
          <w:p>
            <w:pPr>
              <w:spacing w:after="0"/>
              <w:rPr>
                <w:sz w:val="18"/>
                <w:szCs w:val="18"/>
                <w:color w:val="auto"/>
              </w:rPr>
            </w:pP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16,000</w:t>
            </w:r>
          </w:p>
        </w:tc>
        <w:tc>
          <w:tcPr>
            <w:tcW w:w="2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8.77</w:t>
            </w:r>
          </w:p>
        </w:tc>
        <w:tc>
          <w:tcPr>
            <w:tcW w:w="2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8.77</w:t>
            </w:r>
          </w:p>
        </w:tc>
      </w:tr>
      <w:tr>
        <w:trPr>
          <w:trHeight w:val="216"/>
        </w:trPr>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23.84</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625,943</w:t>
            </w:r>
          </w:p>
        </w:tc>
        <w:tc>
          <w:tcPr>
            <w:tcW w:w="2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9.06</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112,310</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r>
      <w:tr>
        <w:trPr>
          <w:trHeight w:val="216"/>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23.86</w:t>
            </w:r>
          </w:p>
        </w:tc>
        <w:tc>
          <w:tcPr>
            <w:tcW w:w="120" w:type="dxa"/>
            <w:vAlign w:val="bottom"/>
          </w:tcPr>
          <w:p>
            <w:pPr>
              <w:spacing w:after="0"/>
              <w:rPr>
                <w:sz w:val="18"/>
                <w:szCs w:val="18"/>
                <w:color w:val="auto"/>
              </w:rPr>
            </w:pP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69,400</w:t>
            </w:r>
          </w:p>
        </w:tc>
        <w:tc>
          <w:tcPr>
            <w:tcW w:w="2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8.75</w:t>
            </w:r>
          </w:p>
        </w:tc>
        <w:tc>
          <w:tcPr>
            <w:tcW w:w="2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17,350</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r>
      <w:tr>
        <w:trPr>
          <w:trHeight w:val="216"/>
        </w:trPr>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24.97</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21,900</w:t>
            </w:r>
          </w:p>
        </w:tc>
        <w:tc>
          <w:tcPr>
            <w:tcW w:w="2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8.42</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8,919</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w:t>
            </w:r>
          </w:p>
        </w:tc>
      </w:tr>
      <w:tr>
        <w:trPr>
          <w:trHeight w:val="216"/>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28.96</w:t>
            </w:r>
          </w:p>
        </w:tc>
        <w:tc>
          <w:tcPr>
            <w:tcW w:w="120" w:type="dxa"/>
            <w:vAlign w:val="bottom"/>
          </w:tcPr>
          <w:p>
            <w:pPr>
              <w:spacing w:after="0"/>
              <w:rPr>
                <w:sz w:val="18"/>
                <w:szCs w:val="18"/>
                <w:color w:val="auto"/>
              </w:rPr>
            </w:pP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18,875</w:t>
            </w:r>
          </w:p>
        </w:tc>
        <w:tc>
          <w:tcPr>
            <w:tcW w:w="2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7.85</w:t>
            </w:r>
          </w:p>
        </w:tc>
        <w:tc>
          <w:tcPr>
            <w:tcW w:w="2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18,875</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30.66</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34,000</w:t>
            </w:r>
          </w:p>
        </w:tc>
        <w:tc>
          <w:tcPr>
            <w:tcW w:w="2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8.53</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10,623</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r>
      <w:tr>
        <w:trPr>
          <w:trHeight w:val="216"/>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36.74</w:t>
            </w:r>
          </w:p>
        </w:tc>
        <w:tc>
          <w:tcPr>
            <w:tcW w:w="120" w:type="dxa"/>
            <w:vAlign w:val="bottom"/>
          </w:tcPr>
          <w:p>
            <w:pPr>
              <w:spacing w:after="0"/>
              <w:rPr>
                <w:sz w:val="18"/>
                <w:szCs w:val="18"/>
                <w:color w:val="auto"/>
              </w:rPr>
            </w:pP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2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7.93</w:t>
            </w:r>
          </w:p>
        </w:tc>
        <w:tc>
          <w:tcPr>
            <w:tcW w:w="2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r>
      <w:tr>
        <w:trPr>
          <w:trHeight w:val="216"/>
        </w:trPr>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40.21</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37,900</w:t>
            </w:r>
          </w:p>
        </w:tc>
        <w:tc>
          <w:tcPr>
            <w:tcW w:w="2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8.19</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16,579</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w:t>
            </w:r>
          </w:p>
        </w:tc>
      </w:tr>
      <w:tr>
        <w:trPr>
          <w:trHeight w:val="216"/>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49.68</w:t>
            </w:r>
          </w:p>
        </w:tc>
        <w:tc>
          <w:tcPr>
            <w:tcW w:w="120" w:type="dxa"/>
            <w:vAlign w:val="bottom"/>
          </w:tcPr>
          <w:p>
            <w:pPr>
              <w:spacing w:after="0"/>
              <w:rPr>
                <w:sz w:val="18"/>
                <w:szCs w:val="18"/>
                <w:color w:val="auto"/>
              </w:rPr>
            </w:pP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133,000</w:t>
            </w:r>
          </w:p>
        </w:tc>
        <w:tc>
          <w:tcPr>
            <w:tcW w:w="2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8.05</w:t>
            </w:r>
          </w:p>
        </w:tc>
        <w:tc>
          <w:tcPr>
            <w:tcW w:w="2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43,750</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w:t>
            </w:r>
          </w:p>
        </w:tc>
      </w:tr>
      <w:tr>
        <w:trPr>
          <w:trHeight w:val="216"/>
        </w:trPr>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13,000</w:t>
            </w:r>
          </w:p>
        </w:tc>
        <w:tc>
          <w:tcPr>
            <w:tcW w:w="2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8.17</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6,312</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w:t>
            </w:r>
          </w:p>
        </w:tc>
      </w:tr>
      <w:tr>
        <w:trPr>
          <w:trHeight w:val="234"/>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64.61</w:t>
            </w:r>
          </w:p>
        </w:tc>
        <w:tc>
          <w:tcPr>
            <w:tcW w:w="120" w:type="dxa"/>
            <w:vAlign w:val="bottom"/>
          </w:tcPr>
          <w:p>
            <w:pPr>
              <w:spacing w:after="0"/>
              <w:rPr>
                <w:sz w:val="20"/>
                <w:szCs w:val="20"/>
                <w:color w:val="auto"/>
              </w:rPr>
            </w:pP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25,010</w:t>
            </w:r>
          </w:p>
        </w:tc>
        <w:tc>
          <w:tcPr>
            <w:tcW w:w="2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8.12</w:t>
            </w:r>
          </w:p>
        </w:tc>
        <w:tc>
          <w:tcPr>
            <w:tcW w:w="2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10,940</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w:t>
            </w:r>
          </w:p>
        </w:tc>
      </w:tr>
    </w:tbl>
    <w:p>
      <w:pPr>
        <w:spacing w:after="0" w:line="179" w:lineRule="exact"/>
        <w:rPr>
          <w:sz w:val="20"/>
          <w:szCs w:val="20"/>
          <w:color w:val="auto"/>
        </w:rPr>
      </w:pPr>
    </w:p>
    <w:p>
      <w:pPr>
        <w:jc w:val="both"/>
        <w:ind w:left="340" w:hanging="339"/>
        <w:spacing w:after="0" w:line="282" w:lineRule="auto"/>
        <w:tabs>
          <w:tab w:leader="none" w:pos="320" w:val="left"/>
        </w:tabs>
        <w:rPr>
          <w:sz w:val="20"/>
          <w:szCs w:val="20"/>
          <w:color w:val="auto"/>
        </w:rPr>
      </w:pPr>
      <w:r>
        <w:rPr>
          <w:rFonts w:ascii="Times New Roman" w:cs="Times New Roman" w:eastAsia="Times New Roman" w:hAnsi="Times New Roman"/>
          <w:sz w:val="18"/>
          <w:szCs w:val="18"/>
          <w:color w:val="auto"/>
        </w:rPr>
        <w:t>*)</w:t>
        <w:tab/>
        <w:t>Including 22,778 RSUs that were granted to the employees of Nanox AI at the completion of the merger and 3,221 RSUs that were issued in consideration for services.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12 - SHAREHOLDERS’ EQUITY </w:t>
            </w:r>
            <w:r>
              <w:rPr>
                <w:rFonts w:ascii="Times New Roman" w:cs="Times New Roman" w:eastAsia="Times New Roman" w:hAnsi="Times New Roman"/>
                <w:sz w:val="18"/>
                <w:szCs w:val="18"/>
                <w:color w:val="auto"/>
              </w:rPr>
              <w:t>(continued):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  Share-based compensation expenses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7320" w:type="dxa"/>
            <w:vAlign w:val="bottom"/>
          </w:tcPr>
          <w:p>
            <w:pPr>
              <w:spacing w:after="0"/>
              <w:rPr>
                <w:sz w:val="24"/>
                <w:szCs w:val="24"/>
                <w:color w:val="auto"/>
              </w:rPr>
            </w:pPr>
          </w:p>
        </w:tc>
        <w:tc>
          <w:tcPr>
            <w:tcW w:w="30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30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8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3,248</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3,384</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9,252</w:t>
            </w:r>
          </w:p>
        </w:tc>
        <w:tc>
          <w:tcPr>
            <w:tcW w:w="8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12,721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13,065</w:t>
            </w:r>
          </w:p>
        </w:tc>
        <w:tc>
          <w:tcPr>
            <w:tcW w:w="3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12,145</w:t>
            </w:r>
          </w:p>
        </w:tc>
        <w:tc>
          <w:tcPr>
            <w:tcW w:w="8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73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18,806</w:t>
            </w:r>
          </w:p>
        </w:tc>
        <w:tc>
          <w:tcPr>
            <w:tcW w:w="3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24,781</w:t>
            </w:r>
          </w:p>
        </w:tc>
        <w:tc>
          <w:tcPr>
            <w:tcW w:w="8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55" w:lineRule="auto"/>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26, 2020, the Company entered into an amendment to a business development agreement (“the BD Agreement”) dated February 4, 2020 with two service providers pursuant to which the Company paid an aggregate one-time payment of $400 thousand plus VAT and issued to them warrants to purchase an aggregate of 650,000 ordinary shares at an exercise price of $18 per share with a graded vesting ending 10 weeks following the grant date (subject to a standard cashless exercise provision) and expiration date of November 8, 2024. As a result, the Company recorded an expense of $6.1 million for the warrants granted. The service providers waived any and all past, present and future compensation to which they are or may be entitled pursuant to the BD Agreement and all activities undertaken on behalf of the Company, including the right to a percentage from future revenues from any of the Company’s systems and the issuance of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w:t>
      </w:r>
    </w:p>
    <w:p>
      <w:pPr>
        <w:spacing w:after="0" w:line="225" w:lineRule="exact"/>
        <w:rPr>
          <w:sz w:val="20"/>
          <w:szCs w:val="20"/>
          <w:color w:val="auto"/>
        </w:rPr>
      </w:pPr>
    </w:p>
    <w:p>
      <w:pPr>
        <w:ind w:left="1300" w:hanging="320"/>
        <w:spacing w:after="0"/>
        <w:tabs>
          <w:tab w:leader="none" w:pos="130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taxation</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tax is calculated with reference to the profit of the Company and its subsidiaries in their respective countries of operation. Set out below are details in respect of the significant jurisdictions where the Company and its subsidiaries operate and the factors that influenced the current and deferred taxation in those jurisdictions:</w:t>
      </w:r>
    </w:p>
    <w:p>
      <w:pPr>
        <w:spacing w:after="0" w:line="17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Israel</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and Nanox AI Ltd are taxed under the laws of the State of Israel at a corporate tax rate of 23%.</w:t>
      </w:r>
    </w:p>
    <w:p>
      <w:pPr>
        <w:spacing w:after="0" w:line="225"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2022, 2021 and 2020, the Company is at a loss position and therefore has no corporate tax liability. As of December 31, 2022, 2021 and 2020, the Company has a carry forward loss of approximately $88.6 million, $56.3 million and $32.3 million, respectively. Such carry forward loss has no expiration date.</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2022, 2021 and 2020, Nanox AI Ltd. is at a loss position and therefore has no corporate tax liability. As of December 31, 2022, 2021 and 2020, Nanox AI Ltd. has a carry forward loss of approximately $67.7 million, $61.9 million and $45.3 million, respectively. Such carry forward loss has no expiration date.</w:t>
      </w:r>
    </w:p>
    <w:p>
      <w:pPr>
        <w:spacing w:after="0" w:line="17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United States</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principal federal tax rate applicable to the U.S. subsidiaries is 21%.</w:t>
      </w:r>
    </w:p>
    <w:p>
      <w:pPr>
        <w:spacing w:after="0" w:line="22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Korea</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Nanox Korea is subject to a Corporate income tax with accordance with the Korean tax law. The tax rate ranges between 10% to 25%, depending on the companies’ taxable income. In addition, Nanox Korea is subject to a Local income tax of 10%. In 2022, Nanox Korea was at a loss position and therefore had no corporate tax liability. As of December 31, 2022, 2021 and 2020, Nanox Korea has a carry forward loss of approximately $9.1 million, $7.1 million and $0.2 million, respectively. Such carry forward loss has 15 years expiration date.</w:t>
      </w:r>
    </w:p>
    <w:p>
      <w:pPr>
        <w:spacing w:after="0" w:line="17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Japan</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Nanox Inc. is subject to national corporate income tax, and enterprise tax, which, in the aggregate resulted in effective tax rate of approximately 33.59%.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893"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 INCOME TAX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300" w:hanging="320"/>
        <w:spacing w:after="0"/>
        <w:tabs>
          <w:tab w:leader="none" w:pos="130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(loss) Before Income Taxes:</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(loss) before income taxes consisted of the following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98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298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(Israel)</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(99,979)</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(56,609)</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(43,449)</w:t>
            </w: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(16,942)</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(5,237)</w:t>
            </w: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(116,921</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(61,846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(43,815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1300" w:hanging="320"/>
        <w:spacing w:after="0"/>
        <w:tabs>
          <w:tab w:leader="none" w:pos="130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 (benefit) consisted of the following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98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298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8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(Israel)</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(3,357)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(3,678)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34"/>
        </w:trPr>
        <w:tc>
          <w:tcPr>
            <w:tcW w:w="7320" w:type="dxa"/>
            <w:vAlign w:val="bottom"/>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194" w:lineRule="exact"/>
        <w:rPr>
          <w:sz w:val="20"/>
          <w:szCs w:val="20"/>
          <w:color w:val="auto"/>
        </w:rPr>
      </w:pPr>
    </w:p>
    <w:p>
      <w:pPr>
        <w:ind w:left="1300" w:hanging="320"/>
        <w:spacing w:after="0"/>
        <w:tabs>
          <w:tab w:leader="none" w:pos="130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on Income:</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Taxes on income for the years ended December 31, 2022, 2021 and 2020 were comprised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5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453"/>
        </w:trPr>
        <w:tc>
          <w:tcPr>
            <w:tcW w:w="35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80" w:type="dxa"/>
            <w:vAlign w:val="bottom"/>
            <w:tcBorders>
              <w:bottom w:val="single" w:sz="8" w:color="auto"/>
            </w:tcBorders>
            <w:gridSpan w:val="5"/>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U.S. dollars in thousands</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Current tax expenses:</w:t>
            </w:r>
          </w:p>
        </w:tc>
        <w:tc>
          <w:tcPr>
            <w:tcW w:w="3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38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5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20"/>
                <w:szCs w:val="20"/>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2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20"/>
                <w:szCs w:val="20"/>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2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5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(3,357)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5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(376)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Pr>
          <w:p>
            <w:pPr>
              <w:spacing w:after="0"/>
              <w:rPr>
                <w:sz w:val="20"/>
                <w:szCs w:val="20"/>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2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(3,733)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20"/>
                <w:szCs w:val="20"/>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2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5180" w:type="dxa"/>
            <w:vAlign w:val="bottom"/>
            <w:gridSpan w:val="3"/>
          </w:tcPr>
          <w:p>
            <w:pPr>
              <w:jc w:val="right"/>
              <w:ind w:right="180"/>
              <w:spacing w:after="0" w:line="256" w:lineRule="exact"/>
              <w:rPr>
                <w:sz w:val="20"/>
                <w:szCs w:val="20"/>
                <w:color w:val="auto"/>
              </w:rPr>
            </w:pPr>
            <w:r>
              <w:rPr>
                <w:rFonts w:ascii="Times New Roman" w:cs="Times New Roman" w:eastAsia="Times New Roman" w:hAnsi="Times New Roman"/>
                <w:sz w:val="16"/>
                <w:szCs w:val="16"/>
                <w:color w:val="auto"/>
              </w:rPr>
              <w:t>(3,678</w:t>
            </w:r>
            <w:r>
              <w:rPr>
                <w:rFonts w:ascii="Times New Roman" w:cs="Times New Roman" w:eastAsia="Times New Roman" w:hAnsi="Times New Roman"/>
                <w:sz w:val="29"/>
                <w:szCs w:val="29"/>
                <w:color w:val="auto"/>
                <w:vertAlign w:val="superscript"/>
              </w:rPr>
              <w:t>)</w:t>
            </w:r>
          </w:p>
        </w:tc>
        <w:tc>
          <w:tcPr>
            <w:tcW w:w="132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(48</w:t>
            </w:r>
            <w:r>
              <w:rPr>
                <w:rFonts w:ascii="Times New Roman" w:cs="Times New Roman" w:eastAsia="Times New Roman" w:hAnsi="Times New Roman"/>
                <w:sz w:val="29"/>
                <w:szCs w:val="29"/>
                <w:color w:val="auto"/>
                <w:vertAlign w:val="superscript"/>
              </w:rPr>
              <w:t>)</w:t>
            </w:r>
          </w:p>
        </w:tc>
        <w:tc>
          <w:tcPr>
            <w:tcW w:w="280" w:type="dxa"/>
            <w:vAlign w:val="bottom"/>
          </w:tcPr>
          <w:p>
            <w:pPr>
              <w:spacing w:after="0"/>
              <w:rPr>
                <w:sz w:val="22"/>
                <w:szCs w:val="22"/>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3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5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3"/>
          </w:tcPr>
          <w:p>
            <w:pPr>
              <w:jc w:val="right"/>
              <w:ind w:right="2900"/>
              <w:spacing w:after="0"/>
              <w:rPr>
                <w:sz w:val="20"/>
                <w:szCs w:val="20"/>
                <w:color w:val="auto"/>
              </w:rPr>
            </w:pPr>
            <w:r>
              <w:rPr>
                <w:rFonts w:ascii="Times New Roman" w:cs="Times New Roman" w:eastAsia="Times New Roman" w:hAnsi="Times New Roman"/>
                <w:sz w:val="18"/>
                <w:szCs w:val="18"/>
                <w:color w:val="auto"/>
              </w:rPr>
              <w:t>F-40</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 INCOME TAX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right"/>
        <w:ind w:right="2080"/>
        <w:spacing w:after="0"/>
        <w:rPr>
          <w:sz w:val="20"/>
          <w:szCs w:val="20"/>
          <w:color w:val="auto"/>
        </w:rPr>
      </w:pPr>
      <w:r>
        <w:rPr>
          <w:rFonts w:ascii="Times New Roman" w:cs="Times New Roman" w:eastAsia="Times New Roman" w:hAnsi="Times New Roman"/>
          <w:sz w:val="18"/>
          <w:szCs w:val="18"/>
          <w:color w:val="auto"/>
        </w:rPr>
        <w:t>A reconciliation of the Company’s theoretical income tax expense to actual income tax expense is as follows: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 before taxes on income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Statutory tax rate in Israel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Theoretical tax benefit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23"/>
        </w:trPr>
        <w:tc>
          <w:tcPr>
            <w:tcW w:w="300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1380" w:type="dxa"/>
            <w:vAlign w:val="bottom"/>
            <w:gridSpan w:val="2"/>
          </w:tcPr>
          <w:p>
            <w:pPr>
              <w:jc w:val="right"/>
              <w:ind w:right="141"/>
              <w:spacing w:after="0" w:line="198" w:lineRule="exact"/>
              <w:rPr>
                <w:sz w:val="20"/>
                <w:szCs w:val="20"/>
                <w:color w:val="auto"/>
              </w:rPr>
            </w:pPr>
            <w:r>
              <w:rPr>
                <w:rFonts w:ascii="Times New Roman" w:cs="Times New Roman" w:eastAsia="Times New Roman" w:hAnsi="Times New Roman"/>
                <w:sz w:val="18"/>
                <w:szCs w:val="18"/>
                <w:color w:val="auto"/>
              </w:rPr>
              <w:t>(116,921)</w:t>
            </w:r>
          </w:p>
        </w:tc>
        <w:tc>
          <w:tcPr>
            <w:tcW w:w="1380" w:type="dxa"/>
            <w:vAlign w:val="bottom"/>
            <w:gridSpan w:val="2"/>
          </w:tcPr>
          <w:p>
            <w:pPr>
              <w:jc w:val="right"/>
              <w:ind w:right="141"/>
              <w:spacing w:after="0" w:line="198" w:lineRule="exact"/>
              <w:rPr>
                <w:sz w:val="20"/>
                <w:szCs w:val="20"/>
                <w:color w:val="auto"/>
              </w:rPr>
            </w:pPr>
            <w:r>
              <w:rPr>
                <w:rFonts w:ascii="Times New Roman" w:cs="Times New Roman" w:eastAsia="Times New Roman" w:hAnsi="Times New Roman"/>
                <w:sz w:val="18"/>
                <w:szCs w:val="18"/>
                <w:color w:val="auto"/>
              </w:rPr>
              <w:t>(61,846)</w:t>
            </w:r>
          </w:p>
        </w:tc>
        <w:tc>
          <w:tcPr>
            <w:tcW w:w="240" w:type="dxa"/>
            <w:vAlign w:val="bottom"/>
          </w:tcPr>
          <w:p>
            <w:pPr>
              <w:spacing w:after="0"/>
              <w:rPr>
                <w:sz w:val="17"/>
                <w:szCs w:val="17"/>
                <w:color w:val="auto"/>
              </w:rPr>
            </w:pP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(43,815)</w:t>
            </w:r>
          </w:p>
        </w:tc>
        <w:tc>
          <w:tcPr>
            <w:tcW w:w="140" w:type="dxa"/>
            <w:vAlign w:val="bottom"/>
            <w:gridSpan w:val="2"/>
          </w:tcPr>
          <w:p>
            <w:pPr>
              <w:spacing w:after="0"/>
              <w:rPr>
                <w:sz w:val="17"/>
                <w:szCs w:val="17"/>
                <w:color w:val="auto"/>
              </w:rPr>
            </w:pPr>
          </w:p>
        </w:tc>
      </w:tr>
      <w:tr>
        <w:trPr>
          <w:trHeight w:val="255"/>
        </w:trPr>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23%</w:t>
            </w: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(26,892</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(10,077</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-462280</wp:posOffset>
            </wp:positionV>
            <wp:extent cx="7132320" cy="146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-162560</wp:posOffset>
            </wp:positionV>
            <wp:extent cx="713232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00" w:space="720"/>
            <w:col w:w="4020"/>
          </w:cols>
          <w:pgMar w:left="320" w:top="873"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taxes resulting from:</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Effect of different tax rates applicable in foreign jurisdictions</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(261)</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losses and other temporary differences for which valuation allowance was provided</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11,467</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6,571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7,235</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4,361</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4,343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5,700</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11,702</w:t>
            </w: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earnout liability</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(4,686)</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Other nondeductible items</w:t>
            </w: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631</w:t>
            </w: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3,373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(2,858)</w:t>
            </w:r>
          </w:p>
        </w:tc>
      </w:tr>
      <w:tr>
        <w:trPr>
          <w:trHeight w:val="250"/>
        </w:trPr>
        <w:tc>
          <w:tcPr>
            <w:tcW w:w="7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tax benefit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7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ind w:left="1300" w:hanging="320"/>
        <w:spacing w:after="0"/>
        <w:tabs>
          <w:tab w:leader="none" w:pos="130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tax assets</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Company’s deferred tax assets and liabilities as of December 31, 2022 and 2021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56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6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loss carryforwards</w:t>
            </w:r>
          </w:p>
        </w:tc>
        <w:tc>
          <w:tcPr>
            <w:tcW w:w="5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38,967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30,234</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and payroll accrued expenses</w:t>
            </w:r>
          </w:p>
        </w:tc>
        <w:tc>
          <w:tcPr>
            <w:tcW w:w="5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37"/>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9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tax liabilities (related to intangible assets)</w:t>
            </w:r>
          </w:p>
        </w:tc>
        <w:tc>
          <w:tcPr>
            <w:tcW w:w="5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(19,562)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(21,775)</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39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 for deferred tax assets</w:t>
            </w:r>
          </w:p>
        </w:tc>
        <w:tc>
          <w:tcPr>
            <w:tcW w:w="39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(24,704)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(12,882)</w:t>
            </w:r>
          </w:p>
        </w:tc>
        <w:tc>
          <w:tcPr>
            <w:tcW w:w="0" w:type="dxa"/>
            <w:vAlign w:val="bottom"/>
          </w:tcPr>
          <w:p>
            <w:pPr>
              <w:spacing w:after="0"/>
              <w:rPr>
                <w:sz w:val="1"/>
                <w:szCs w:val="1"/>
                <w:color w:val="auto"/>
              </w:rPr>
            </w:pPr>
          </w:p>
        </w:tc>
      </w:tr>
      <w:tr>
        <w:trPr>
          <w:trHeight w:val="27"/>
        </w:trPr>
        <w:tc>
          <w:tcPr>
            <w:tcW w:w="4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9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vMerge w:val="continue"/>
            <w:shd w:val="clear" w:color="auto" w:fill="CCEEFF"/>
          </w:tcPr>
          <w:p>
            <w:pPr>
              <w:spacing w:after="0"/>
              <w:rPr>
                <w:sz w:val="21"/>
                <w:szCs w:val="21"/>
                <w:color w:val="auto"/>
              </w:rPr>
            </w:pPr>
          </w:p>
        </w:tc>
        <w:tc>
          <w:tcPr>
            <w:tcW w:w="39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47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3"/>
          </w:tcPr>
          <w:p>
            <w:pPr>
              <w:jc w:val="right"/>
              <w:ind w:right="4220"/>
              <w:spacing w:after="0"/>
              <w:rPr>
                <w:sz w:val="20"/>
                <w:szCs w:val="20"/>
                <w:color w:val="auto"/>
              </w:rPr>
            </w:pPr>
            <w:r>
              <w:rPr>
                <w:rFonts w:ascii="Times New Roman" w:cs="Times New Roman" w:eastAsia="Times New Roman" w:hAnsi="Times New Roman"/>
                <w:sz w:val="18"/>
                <w:szCs w:val="18"/>
                <w:color w:val="auto"/>
              </w:rPr>
              <w:t>F-41</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type w:val="continuous"/>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 INCOME TAX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the Company considered all available evidence, including past operating results, the most recent projections for taxable income, and prudent and feasible tax planning strategies. The Company reassess its valuation allowance periodically and if future evidence allows for a partial or full release of the valuation allowance, a tax benefit will be recorded accordingly.</w:t>
      </w:r>
    </w:p>
    <w:p>
      <w:pPr>
        <w:spacing w:after="0" w:line="180"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Company has recorded a full valuation allowance of $24,704 and $12,882 thousand with regard to its deferred taxes (which is mainly tax loss carryforwards and temporary differences due to unallowed research and development expenses) generated in Israel,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U.S. dollars</w:t>
            </w:r>
          </w:p>
        </w:tc>
      </w:tr>
      <w:tr>
        <w:trPr>
          <w:trHeight w:val="245"/>
        </w:trPr>
        <w:tc>
          <w:tcPr>
            <w:tcW w:w="10020" w:type="dxa"/>
            <w:vAlign w:val="bottom"/>
          </w:tcPr>
          <w:p>
            <w:pPr>
              <w:spacing w:after="0"/>
              <w:rPr>
                <w:sz w:val="21"/>
                <w:szCs w:val="21"/>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24,704</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f.</w:t>
        <w:tab/>
        <w:t>Tax assessments</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Company is currently in the process of routine Israeli income tax audit for the tax years 2019 through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SEGMENTS OF OPERATIONS</w:t>
      </w:r>
    </w:p>
    <w:p>
      <w:pPr>
        <w:spacing w:after="0" w:line="229"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The Company reports segment information based on the “management” approach. The management approach designates the internal reporting used by management for making decisions and assessing performance as the source of the Company’s reportable operating segments. The Company manages its business primarily on a service basis. The Company’s reportable segments consist of the Nanox.ARC division, the radiology services division and the AI solutions division. Each one is managed separately to better align with the Company’s customers and distribution partners and the unique market dynamics of each segment. Operating income for each segment includes net sales to third parties, related cost of sales and operating expenses directly attributable to the segment. Costs excluded from segment operating income include various corporate expenses such as income taxes. The Company does not include intercompany transfers between segments for management reporting. From 2022, total assets for each of the Company’s reportable segments have been separately presented to, and reviewed by, the Chief Operating Decision Maker of the Company to assess the performance of the Company’s segments.</w:t>
      </w:r>
    </w:p>
    <w:p>
      <w:pPr>
        <w:spacing w:after="0" w:line="194"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The accounting policies of the various segments are the same as those described in Note 2, “Summary of Significant Accounting Policies.” The Company evaluates the performance of its reportable operating segments based on net sales and operating loss.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Nanox.</w:t>
            </w:r>
          </w:p>
        </w:tc>
        <w:tc>
          <w:tcPr>
            <w:tcW w:w="120" w:type="dxa"/>
            <w:vAlign w:val="bottom"/>
          </w:tcPr>
          <w:p>
            <w:pPr>
              <w:spacing w:after="0"/>
              <w:rPr>
                <w:sz w:val="16"/>
                <w:szCs w:val="16"/>
                <w:color w:val="auto"/>
              </w:rPr>
            </w:pPr>
          </w:p>
        </w:tc>
        <w:tc>
          <w:tcPr>
            <w:tcW w:w="122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Radiology</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ARC</w:t>
            </w:r>
          </w:p>
        </w:tc>
        <w:tc>
          <w:tcPr>
            <w:tcW w:w="120" w:type="dxa"/>
            <w:vAlign w:val="bottom"/>
          </w:tcPr>
          <w:p>
            <w:pPr>
              <w:spacing w:after="0"/>
              <w:rPr>
                <w:sz w:val="21"/>
                <w:szCs w:val="21"/>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AI Solutions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8,235</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8,578</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loss</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(67,066)</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(2,760)</w:t>
            </w:r>
          </w:p>
        </w:tc>
        <w:tc>
          <w:tcPr>
            <w:tcW w:w="4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(47,884)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(117,710)</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789</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(116,921)</w:t>
            </w:r>
          </w:p>
        </w:tc>
      </w:tr>
      <w:tr>
        <w:trPr>
          <w:trHeight w:val="216"/>
        </w:trPr>
        <w:tc>
          <w:tcPr>
            <w:tcW w:w="4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2,642</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8,259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11,512</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obligation in earn-out liabilities</w:t>
            </w:r>
          </w:p>
        </w:tc>
        <w:tc>
          <w:tcPr>
            <w:tcW w:w="1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(21,216)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(20,376)</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50,878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50,878</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18,623</w:t>
            </w:r>
          </w:p>
        </w:tc>
      </w:t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148,352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30,753</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74,828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253,933</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for segment’s assets</w:t>
            </w:r>
          </w:p>
        </w:tc>
        <w:tc>
          <w:tcPr>
            <w:tcW w:w="1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8,140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8,181</w:t>
            </w:r>
          </w:p>
        </w:tc>
      </w:tr>
      <w:tr>
        <w:trPr>
          <w:trHeight w:val="391"/>
        </w:trPr>
        <w:tc>
          <w:tcPr>
            <w:tcW w:w="4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Radiology</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Nanox. ARC</w:t>
            </w:r>
          </w:p>
        </w:tc>
        <w:tc>
          <w:tcPr>
            <w:tcW w:w="120" w:type="dxa"/>
            <w:vAlign w:val="bottom"/>
          </w:tcPr>
          <w:p>
            <w:pPr>
              <w:spacing w:after="0"/>
              <w:rPr>
                <w:sz w:val="21"/>
                <w:szCs w:val="21"/>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AI Solutions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1,034</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1,304</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loss</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(56,875)</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(530)</w:t>
            </w:r>
          </w:p>
        </w:tc>
        <w:tc>
          <w:tcPr>
            <w:tcW w:w="4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(61,558)</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(61,846)</w:t>
            </w:r>
          </w:p>
        </w:tc>
      </w:tr>
      <w:tr>
        <w:trPr>
          <w:trHeight w:val="216"/>
        </w:trPr>
        <w:tc>
          <w:tcPr>
            <w:tcW w:w="4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2,292</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18,806</w:t>
            </w:r>
          </w:p>
        </w:tc>
      </w:tr>
      <w:tr>
        <w:trPr>
          <w:trHeight w:val="216"/>
        </w:trPr>
        <w:tc>
          <w:tcPr>
            <w:tcW w:w="426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195,621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31,802</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135,747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363,170</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for segment’s assets</w:t>
            </w:r>
          </w:p>
        </w:tc>
        <w:tc>
          <w:tcPr>
            <w:tcW w:w="1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23,139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2,859</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26,017</w:t>
            </w:r>
          </w:p>
        </w:tc>
      </w:tr>
      <w:tr>
        <w:trPr>
          <w:trHeight w:val="637"/>
        </w:trPr>
        <w:tc>
          <w:tcPr>
            <w:tcW w:w="4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F-43</w:t>
            </w: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14 - SEGMENTS OF OPERATIONS </w:t>
            </w:r>
            <w:r>
              <w:rPr>
                <w:rFonts w:ascii="Times New Roman" w:cs="Times New Roman" w:eastAsia="Times New Roman" w:hAnsi="Times New Roman"/>
                <w:sz w:val="18"/>
                <w:szCs w:val="18"/>
                <w:color w:val="auto"/>
              </w:rPr>
              <w:t>(continued):</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Radiology</w:t>
            </w: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Nanox. ARC</w:t>
            </w:r>
          </w:p>
        </w:tc>
        <w:tc>
          <w:tcPr>
            <w:tcW w:w="120" w:type="dxa"/>
            <w:vAlign w:val="bottom"/>
          </w:tcPr>
          <w:p>
            <w:pPr>
              <w:spacing w:after="0"/>
              <w:rPr>
                <w:sz w:val="21"/>
                <w:szCs w:val="21"/>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AI Solutions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9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loss</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(43,923)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(43,923)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(43,815)</w:t>
            </w:r>
          </w:p>
        </w:tc>
      </w:tr>
      <w:tr>
        <w:trPr>
          <w:trHeight w:val="216"/>
        </w:trPr>
        <w:tc>
          <w:tcPr>
            <w:tcW w:w="5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24,781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24,781</w:t>
            </w:r>
          </w:p>
        </w:tc>
      </w:tr>
      <w:tr>
        <w:trPr>
          <w:trHeight w:val="216"/>
        </w:trPr>
        <w:tc>
          <w:tcPr>
            <w:tcW w:w="5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236,149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236,149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segment’s assets</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13,937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13,937</w:t>
            </w:r>
          </w:p>
        </w:tc>
      </w:tr>
    </w:tbl>
    <w:p>
      <w:pPr>
        <w:spacing w:after="0" w:line="198"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and December 31, 2021, the Company’s revenues in the United States constituted approximately 97% and 98% of the Company’s total revenue, respectively. For the years ended December 31, 2022 and December 31, 2021, no individual customer exceeded 10% of the Company’s total revenue or total accounts receivables.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Long-lived assets by geography</w:t>
      </w:r>
    </w:p>
    <w:p>
      <w:pPr>
        <w:spacing w:after="0" w:line="221"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00" w:type="dxa"/>
            <w:vAlign w:val="bottom"/>
            <w:tcBorders>
              <w:bottom w:val="single" w:sz="8" w:color="CCEEFF"/>
            </w:tcBorders>
          </w:tcPr>
          <w:p>
            <w:pPr>
              <w:spacing w:after="0"/>
              <w:rPr>
                <w:sz w:val="21"/>
                <w:szCs w:val="21"/>
                <w:color w:val="auto"/>
              </w:rPr>
            </w:pPr>
          </w:p>
        </w:tc>
        <w:tc>
          <w:tcPr>
            <w:tcW w:w="548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5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6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38,922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33,949</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Unites States</w:t>
            </w:r>
          </w:p>
        </w:tc>
        <w:tc>
          <w:tcPr>
            <w:tcW w:w="6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54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27"/>
        </w:trPr>
        <w:tc>
          <w:tcPr>
            <w:tcW w:w="3200" w:type="dxa"/>
            <w:vAlign w:val="bottom"/>
            <w:shd w:val="clear" w:color="auto" w:fill="CCEEFF"/>
          </w:tcPr>
          <w:p>
            <w:pPr>
              <w:spacing w:after="0"/>
              <w:rPr>
                <w:sz w:val="2"/>
                <w:szCs w:val="2"/>
                <w:color w:val="auto"/>
              </w:rPr>
            </w:pPr>
          </w:p>
        </w:tc>
        <w:tc>
          <w:tcPr>
            <w:tcW w:w="54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3200" w:type="dxa"/>
            <w:vAlign w:val="bottom"/>
            <w:shd w:val="clear" w:color="auto" w:fill="CCEEFF"/>
          </w:tcPr>
          <w:p>
            <w:pPr>
              <w:spacing w:after="0"/>
              <w:rPr>
                <w:sz w:val="21"/>
                <w:szCs w:val="21"/>
                <w:color w:val="auto"/>
              </w:rPr>
            </w:pPr>
          </w:p>
        </w:tc>
        <w:tc>
          <w:tcPr>
            <w:tcW w:w="54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44,702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39,160</w:t>
            </w:r>
          </w:p>
        </w:tc>
      </w:tr>
      <w:tr>
        <w:trPr>
          <w:trHeight w:val="21"/>
        </w:trPr>
        <w:tc>
          <w:tcPr>
            <w:tcW w:w="320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32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gridSpan w:val="3"/>
          </w:tcPr>
          <w:p>
            <w:pPr>
              <w:jc w:val="right"/>
              <w:ind w:right="4220"/>
              <w:spacing w:after="0"/>
              <w:rPr>
                <w:sz w:val="20"/>
                <w:szCs w:val="20"/>
                <w:color w:val="auto"/>
              </w:rPr>
            </w:pPr>
            <w:r>
              <w:rPr>
                <w:rFonts w:ascii="Times New Roman" w:cs="Times New Roman" w:eastAsia="Times New Roman" w:hAnsi="Times New Roman"/>
                <w:sz w:val="18"/>
                <w:szCs w:val="18"/>
                <w:color w:val="auto"/>
              </w:rPr>
              <w:t>F-44</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NOTES TO THE FINANCIAL STATEMENTS (continued)</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LOSS PER SHARE:</w:t>
      </w:r>
    </w:p>
    <w:p>
      <w:pPr>
        <w:spacing w:after="0" w:line="225" w:lineRule="exact"/>
        <w:rPr>
          <w:sz w:val="20"/>
          <w:szCs w:val="20"/>
          <w:color w:val="auto"/>
        </w:rPr>
      </w:pPr>
    </w:p>
    <w:p>
      <w:pPr>
        <w:ind w:left="1300" w:hanging="320"/>
        <w:spacing w:after="0"/>
        <w:tabs>
          <w:tab w:leader="none" w:pos="130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loss per share is calculated by dividing the loss attributable to the Company’s owners by the weighted average number of ordinary shares in issue.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Company’s owners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(113,243</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(43,815</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weighted average of the number of ordinary shares (in thousands)</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52,235</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48,216</w:t>
            </w:r>
          </w:p>
        </w:tc>
        <w:tc>
          <w:tcPr>
            <w:tcW w:w="2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For the calculation of loss per share, the Company used the net loss attributable to Company’s owners divided by the weighted average number of the Company’s ordinary shares for the years ended December 31, 2022, 2021 and 2020.</w:t>
      </w:r>
    </w:p>
    <w:p>
      <w:pPr>
        <w:spacing w:after="0" w:line="158" w:lineRule="exact"/>
        <w:rPr>
          <w:sz w:val="20"/>
          <w:szCs w:val="20"/>
          <w:color w:val="auto"/>
        </w:rPr>
      </w:pPr>
    </w:p>
    <w:p>
      <w:pPr>
        <w:ind w:left="1300" w:hanging="320"/>
        <w:spacing w:after="0"/>
        <w:tabs>
          <w:tab w:leader="none" w:pos="130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Diluted</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2022 and 2021, the Company had 2,312,443 and 2,505,370 warrants, respectively, and 5,065,910 and 4,842,342 options, respectively. As of December 31, 2020, the Company had 3,173,186 warrants and 4,673,104 options. These warrants and awards were not considered when calculating diluted loss per share since their effect is anti-dilutive. In addition, contingently issuable ordinary shares that are issuable based on certain conditions (see Note 3) are not included in the potential dilutive shares in calculating the diluted loss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9"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On April 28, 2023, the Company agreed to pay an aggregate amount of $290,063 in cash and 45,392 ordinary shares to the former stockholders of USARAD, in consideration for the achievement of certain milestones in connection with the first earn out period, as defined in the USARAD Stock Purchase Agreement. In addition, the Company and the former shareholders of USARAD entered into a settlement agreement with respect to any additional amount that could be granted to the shareholders of USARAD as consideration for the remainder of the milestones and applicable earn-outs under the USARAD Stock Purchase Agreement, according to which the Company agreed to pay an aggregate of $500,000 in cash and 210,000 ordinary shares to the former stockholders of USARAD. As a result of the settlement, both parties’ performance obligations under the USARAD Stock Purchase Agreement have been satisfied in full.</w:t>
      </w:r>
    </w:p>
    <w:p>
      <w:pPr>
        <w:spacing w:after="0" w:line="18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On April 28, 2023, the Company signed a term sheet with Lead Plaintiffs in both the McLaughlin action and the consolidated White action to settle all claims in both actions in consideration of $8,000 thousand. As of December 31, 2022, the Company has accrued the same amount in connection with the above referenced complaints and term sheet (refer to Note 11).</w:t>
      </w:r>
    </w:p>
    <w:p>
      <w:pPr>
        <w:spacing w:after="0" w:line="176"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On April 28, 2023, the Company received clearance from the FDA to market the Nanox.ARC (including the Nanox.CLOUD) as a stationary ‎X-ray ‎system ‎intended to produce tomographic images of the human musculoskeletal system adjunctive to conventional</w:t>
      </w:r>
    </w:p>
    <w:p>
      <w:pPr>
        <w:jc w:val="both"/>
        <w:ind w:left="1300"/>
        <w:spacing w:after="0" w:line="260" w:lineRule="auto"/>
        <w:rPr>
          <w:sz w:val="20"/>
          <w:szCs w:val="20"/>
          <w:color w:val="auto"/>
        </w:rPr>
      </w:pPr>
      <w:r>
        <w:rPr>
          <w:rFonts w:ascii="Times New Roman" w:cs="Times New Roman" w:eastAsia="Times New Roman" w:hAnsi="Times New Roman"/>
          <w:sz w:val="18"/>
          <w:szCs w:val="18"/>
          <w:color w:val="auto"/>
        </w:rPr>
        <w:t>radiography, on adult patients. This device is intended‎ to be used in professional healthcare facilities‎ or radiological‎ environments,‎ such as ‎hospitals, clinics, imaging ‎centers and ‎other medical practices‎by trained radiographers, ‎radiologists and physicists.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2022, NANO-X IMAGING LTD had one class of securities registered under Section 12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our ordinary shares. References herein to “we,” “us,” “our” and the “Company” refer to NANO-X IMAGING LTX and not to any of its subsidiaries. The following description may not contain all of the information that is important to you, and we therefore refer you to our amended and restated articles of association (our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a copy of which is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as an exhibit to this annual report on Form 20-F.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Number and Purposes of the Company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registration number with the Israeli Registrar of Companies is 515942076. Our purpose as set forth in our amended and restated articles of association is to engage in any lawful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authorized share capital consists of 100,000,000 ordinary shares, par value NIS 0.01 per share.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of our outstanding ordinary shares are validly issued, fully paid and non-assessable. Our ordinary shares are not redeemable and do not have any preemptive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fully 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liability of each shareholder for the Company’s obligations is limited to the unpaid sum, if any, owing to the Company in consideration for the issuance of the shares held by such shareholder. If at any time the Company shall issue shares with no nominal value, the liability of the Shareholders shall be limited to the payment of the amount which the Shareholders should have paid the Company in respect of each share in accordance with the conditions of such issuance and was not paid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ordinary shares do not have cumulative voting rights for the election of directors. As a result, the holders of a majority of the voting power represented at a shareholders meeting have the power to elect our directors (except the External Directors (as defined in the Israel Companies Law, 5759-1999 (the “</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to the extent elected).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our Articles, the number of directors on our board of directors must be no less than five and no more than ten (in each case including at least two External Directors, as defined in the Companies Law, to the extent appointed). Subject to the aforesaid, the number of directors shall be determined, from time to time, by a majority of the Directors then in office; provided that no determination in respect of a decrease in the number of directors shall shorten the term of any incumbent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8" w:name="page179"/>
    <w:bookmarkEnd w:id="17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vote required to appoint a director is a simple majority vote (other than the External Directors, to the extent elected). In addition, under our Articles, our board of directors may elect new directors to fill vacancies (whether such vacancy is due to a director no longer serving or due to the number of directors serving being less than the maximum required in our Articles), provided that the total number of directors shall not, at any time, exceed ten. Our Articles provide that the term of a director appointed by our board of directors to fill any vacancy will be for the remaining term of office of the director(s) whose office(s) have been vacated, or in case of a vacancy due to the number of Directors serving being less than the maximum number stated in the Articles, the Board shall determine at the time of appointment the class pursuant to the Articles to which the additional director shall be assigned. Furthermore, under our Articles, our directors (other than the External Directors, to the extent elected), are divided into three classes with staggered three-year terms, in a way that at each Annual General Meeting the term of office of only one class of Directors will expire. Each class of directors consists, as nearly as possible, of 1/3 of the total number of directors constituting the entire board of directors (other than External Directors, to the extent elected).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and Liquidation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we anticipate that, for the foreseeable future, we will retain any future earnings to support operations and to finance the growth and development of our business. Therefore, we do not expect to pay cash dividends for at least the next several years.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declare a dividend to be paid to the holders of our ordinary shares in proportion to their respective shareholdings. The distribution of dividends may also be limited by the Companies Law, which permits the distribution of dividends only out of retained earnings or earnings derived over the two most recent fiscal years, whichever is higher, provided that there is no reasonable concern that payment of a dividend will prevent a company from satisfying its existing and foreseeable obligations as they become due. In the event that we do not have retained earnings or earnings generated over the two most recent years legally available for distribution, we must seek the approval of the court in order to distribute a dividend. The court may approve our request if it is convinced that there is no reasonable concern that the payment of a dividend will prevent us from satisfying our existing and foreseeable obligations as they become due. Our Articles provide that dividends will be paid at the discretion of, and upon resolution by, our board of directors, subject to the provisions of the Companies Law.</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liquidation, after satisfaction of liabilities to creditors and other payments due as per applicable law,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 of certain countries that have been, or are considered to be, in a state of war with Israel.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Meetings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Israeli law, we are required to hold an annual general meeting of our shareholders once every calendar year that must be held no later than 15 months after the date of the previous annual general meeting. All general meetings other than the annual meeting of shareholders are referred to in our amended and restated articles of association as special general meetings. Our board of directors may call special general meetings whenever it sees fit, at such time and place, within or outside of Israel, as it may determine. In addition, the Companies Law provides that our board of directors is required to convene a special general meeting upon the written request of (i) any two or more of our directors or one-quarter or more of the members of our board of directors or (ii) one or more shareholders holding, in the aggregate, either (a) 5% or more of our outstanding issued shares and 1% or more of our outstanding voting power or (b) 5% or more of our outstanding voting power.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Israeli law, one or more shareholders holding at least 1% of the voting rights at the general meeting may request that the board of directors include a matter in the agenda of a general meeting to be convened in the future, provided that it is appropriate to discuss such a matter at the general meeting. Our Articles contain procedural guidelines and disclosure items with respect to the submission of shareholder proposals for shareholder meetings.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Companies Law and the regulations promulgated thereunder, shareholders entitled to participate and vote at general meetings are the shareholders of record on a date to be decided by the board of directors, which may be between four and twenty one days prior to the meeting or between twenty right and forty days prior to the date of the meeting, depending on the type of meeting and whether written proxies are being used.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Companies Law, resolutions regarding the following matters must be passed at a general meeting of shareholders:</w:t>
      </w:r>
    </w:p>
    <w:p>
      <w:pPr>
        <w:spacing w:after="0" w:line="225" w:lineRule="exact"/>
        <w:rPr>
          <w:sz w:val="20"/>
          <w:szCs w:val="20"/>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our amended and restated articles of association;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fees or termination of the auditors, if the shareholders have not delegated their authority to set the fees for the auditors to the board of directors;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external directors (if applicable);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related-party transactions requiring general meeting approval pursuant to the provisions of the Companies Law;</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reductions of our authorized share capital;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(as such term is defined in the Companies Law);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our Articles, we are required to give notice to our registered shareholders not less than 21 days prior to the meeting. The Companies Law requires that a notice of any annual general meeting or special general meeting be provided to shareholders at least 21 days prior to the meeting and if the agenda of the meeting includes the appointment or removal of directors, the approval of transactions with office holders or interested or related parties, or an approval of a merger, or as otherwise required under applicable law, notice must be provided at least 35 days prior to the meeting. Under the Companies Law, shareholders of a public company are not permitted to take action by written consent in lieu of a meeting. Under Companies Law, whenever we cannot convene or conduct a general meeting in the manner prescribed under the law or our articles of association, the court may, upon our, shareholders’ or directors’ request, order that we convene and conduct a general meeting in the manner the court deems appropriate.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our ordinary shares have identical voting and other rights in all respects.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Quorum Requirements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our Articles, holders of our ordinary shares have one vote for each ordinary share held on all matters submitted to a vote before the shareholders at a general meeting. In any meeting of shareholders, we will follow the quorum requirements for general meetings as set forth in our Articles, instead of one-third of the issued share capital as required under the Nasdaq Marketplace Rules. Pursuant to our Articles, the quorum required for our general meetings of shareholders will consist of at least two shareholders present in person or by proxy (including by voting deed) and holding shares conferring in the aggregate at least 25% of the voting power of the Company. A meeting adjourned for lack of a quorum will generally be adjourned to the same day of the following week at the same time and place, or to such other day, time or place as indicated by our board of directors if so specified in the notice of the meeting. At the reconvened meeting, subject to a limited exception, any number of shareholders present in person or by proxy shall constitute a lawful quorum.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i w:val="1"/>
          <w:iCs w:val="1"/>
          <w:color w:val="auto"/>
        </w:rPr>
        <w:t>Vote Requirements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Articles provide that all resolutions of our shareholders require a simple majority vote, unless otherwise required by the Companies Law or by our Articles. Pursuant to our Articles, an amendment to our Articles regarding any change of the composition or election procedures of our directors and the removal of a director from office will require a special shareholders majority of at least two-thirds of the voting power represented at the meeting in person or by proxy and voting thereon. Under the Companies Law, among others, each of (i) the approval of an extraordinary transaction with a controlling shareholder and (ii) the terms of employment or other engagement of the controlling shareholder of the company or such controlling shareholder’s relative (even if such terms are not extraordinary) requires special approval and certain transactions with respect to remuneration of our officers and directors, the approval and extension of a compensation policy and certain deviations therefrom require further approvals. Under our Articles, any change to the rights and privileges of the holders of any class of our shares requires a simple majority at a separate meeting of the class so affected (or such other percentage of the relevant class that may be set forth in the governing documents relevant to such class), in addition to the ordinary majority vote of all classes of shares voting together as a single class at a shareholder meeting. Another exception to the simple majority vote requirement is a resolution for an approval of a scheme of arrangement or reorganization, of the company pursuant to Section 350 of the Companies Law, that governs the settlement of debts and reorganization of a company, which requires the approval of holders of 75% of the voting rights represented at the meeting, in person, by proxy or by voting deed and voting on the resolution.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Access to Corporate Records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Companies Law, shareholders generally have the right to review minutes of our general meetings, our shareholders register and material shareholders register, our amended and restated articles of association, our annual audited financial statements and any document that we are required by law to file publicly with the Israeli Registrar of Companies or the Israel Securities Authority. In addition, any shareholder who specifies the purpose of their request may request to review any document related to an action or transaction requiring shareholder approval under the related party transaction provisions of the Companies Law. We may deny this request if we believe it has not been made in good faith or if such denial is necessary to protect our interests or protect a trade secret or patent.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 of Class Rights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and our Articles, the rights attached to any class of share,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Articles, in addition to the ordinary majority vote of all classes of voting shares voting together as a single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under Israeli Law</w:t>
      </w:r>
    </w:p>
    <w:p>
      <w:pPr>
        <w:spacing w:after="0" w:line="227" w:lineRule="exact"/>
        <w:rPr>
          <w:sz w:val="20"/>
          <w:szCs w:val="20"/>
          <w:color w:val="auto"/>
        </w:rPr>
      </w:pPr>
    </w:p>
    <w:p>
      <w:pPr>
        <w:jc w:val="both"/>
        <w:ind w:firstLine="638"/>
        <w:spacing w:after="0" w:line="253" w:lineRule="auto"/>
        <w:rPr>
          <w:sz w:val="20"/>
          <w:szCs w:val="20"/>
          <w:color w:val="auto"/>
        </w:rPr>
      </w:pPr>
      <w:r>
        <w:rPr>
          <w:rFonts w:ascii="Times New Roman" w:cs="Times New Roman" w:eastAsia="Times New Roman" w:hAnsi="Times New Roman"/>
          <w:sz w:val="18"/>
          <w:szCs w:val="18"/>
          <w:i w:val="1"/>
          <w:iCs w:val="1"/>
          <w:color w:val="auto"/>
        </w:rPr>
        <w:t>Full Tender Offer</w:t>
      </w:r>
      <w:r>
        <w:rPr>
          <w:rFonts w:ascii="Times New Roman" w:cs="Times New Roman" w:eastAsia="Times New Roman" w:hAnsi="Times New Roman"/>
          <w:sz w:val="18"/>
          <w:szCs w:val="18"/>
          <w:color w:val="auto"/>
        </w:rPr>
        <w:t>. A person wishing to acquire shares of an Israeli public company and who would as a result hold over 90% of the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voting rights or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voting rights or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 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full tender offer was not accepted in accordance with the above alternatives, the acquirer may not acquire shares of the company that will increase its holdings to more than 90% of the company’s voting rights or issued and outstanding share capital or of the applicable class from shareholders who accepted the tender offer.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1" w:name="page182"/>
    <w:bookmarkEnd w:id="181"/>
    <w:p>
      <w:pPr>
        <w:jc w:val="both"/>
        <w:ind w:firstLine="638"/>
        <w:spacing w:after="0" w:line="252" w:lineRule="auto"/>
        <w:rPr>
          <w:sz w:val="20"/>
          <w:szCs w:val="20"/>
          <w:color w:val="auto"/>
        </w:rPr>
      </w:pPr>
      <w:r>
        <w:rPr>
          <w:rFonts w:ascii="Times New Roman" w:cs="Times New Roman" w:eastAsia="Times New Roman" w:hAnsi="Times New Roman"/>
          <w:sz w:val="18"/>
          <w:szCs w:val="18"/>
          <w:i w:val="1"/>
          <w:iCs w:val="1"/>
          <w:color w:val="auto"/>
        </w:rPr>
        <w:t>Special Tender Offer</w:t>
      </w:r>
      <w:r>
        <w:rPr>
          <w:rFonts w:ascii="Times New Roman" w:cs="Times New Roman" w:eastAsia="Times New Roman" w:hAnsi="Times New Roman"/>
          <w:sz w:val="18"/>
          <w:szCs w:val="18"/>
          <w:color w:val="auto"/>
        </w:rPr>
        <w:t>. The Companies Law provides that an acquisition of shares of an Israeli public company must be made by means of a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tender offer if as a result of the acquisition the purchaser would become a holder of 25% or more of the voting rights in the company (subject to certain exceptions).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 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by shareholders who accept the offer exceeds the number of shares whose holders objected to the offer (excluding the purchaser and its controlling shareholders, holders of 25% or more of the voting rights in the company or any person having a personal interest in the acceptance of the tender offer or any other person acting on their behalf, including relatives and entities under such person’s control). If a special tender offer is accepted, then (i) shareholders who did not respond to or that had objected to the offer may accept the offer within four days of the last date set for the acceptance of the offer and they will be considered to have accepted the offer from the first day it was made, and (ii)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95"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Shares purchased in contradiction to the tender offer rules under the Companies Law, as described above, will have no rights and will become dormant shares.</w:t>
      </w:r>
    </w:p>
    <w:p>
      <w:pPr>
        <w:spacing w:after="0" w:line="16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The Companies Law permits merger transactions if approved by each party’s board of directors and, unless certain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under the Companies Law are met, by a majority vote of each party’s shares, and, in the case of the target company, a majority vote of each class of its shares voted on the proposed merger at a shareholders meeting.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condition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 Under the Companies Law, each merging company must deliver the merger proposal to its secured creditors and inform its unsecured creditors of the merger proposal and its content.</w:t>
      </w:r>
    </w:p>
    <w:p>
      <w:pPr>
        <w:spacing w:after="0" w:line="190"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8"/>
          <w:szCs w:val="18"/>
          <w:color w:val="auto"/>
        </w:rPr>
        <w:t>For purposes of the shareholder vote, unless a court rules otherwise, the merger will not be deemed approved if a majority of the votes of the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to the parties to the merger and the consideration offered to the shareholders of the target company. 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 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 Israeli tax law treats some acquisitions, such as share for share exchanges between an Israeli company and a foreign company, less favorably than U.S. tax laws. For example, Israeli tax law may, under certain circumstances, subject a shareholder who exchanges his ordinary shares for shares in another corporation to taxation prior to the sale of the shares received in such share-for-share swap.</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color w:val="auto"/>
        </w:rPr>
        <w:t>Anti-Takeover Measures under Israeli Law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currently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represented at a general meeting. The convening of the meeting, the shareholders entitled to participate and the majority vote required to be obtained at such a meeting will be subject to the requirements set forth in the Companies Law and our Articles as described above under “—Voting Rights.” In addition, we have a classified board structure, which will effectively limit the ability of any investor or potential investor or group of investors or potential investors to gain control of our board of directors, as disclosed under “Item 6. Directors, Senior Management and Employees—C. Board Practices.”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Companies Law and our Articles,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Capital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Articles enable us to increase or reduce our share capital. Any such changes are subject to the provisions of the Companies Law and must be approved by a resolution duly adopted by our shareholders at a general meeting.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Articles provide that the federal district courts of the United States of America will, to the fullest extent permitted by law, be the exclusive forum for resolving any complaint asserting a cause of action arising under the Securities Act (the “</w:t>
      </w:r>
      <w:r>
        <w:rPr>
          <w:rFonts w:ascii="Times New Roman" w:cs="Times New Roman" w:eastAsia="Times New Roman" w:hAnsi="Times New Roman"/>
          <w:sz w:val="18"/>
          <w:szCs w:val="18"/>
          <w:b w:val="1"/>
          <w:bCs w:val="1"/>
          <w:color w:val="auto"/>
        </w:rPr>
        <w:t>Federal Forum Provision</w:t>
      </w:r>
      <w:r>
        <w:rPr>
          <w:rFonts w:ascii="Times New Roman" w:cs="Times New Roman" w:eastAsia="Times New Roman" w:hAnsi="Times New Roman"/>
          <w:sz w:val="18"/>
          <w:szCs w:val="18"/>
          <w:color w:val="auto"/>
        </w:rPr>
        <w:t>”). While there can be no assurance that U.S. federal or state courts or Israeli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our shareholders to enforce any duty or liability created by the Securities Act must be brought in federal court and cannot be brought in state court. The Federal Forum Provision does not apply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also must be brought in federal court. Our shareholders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the Federal Forum Provision. This provision may limit a shareholder’s ability to bring a claim in a judicial forum of their choosing for disputes with us or our directors, officers or other employees, which may discourage lawsuits against us and our directors, officers and other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Establishment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Israel on December 20, 2018. We are registered with the Israeli Registrar of Companies in Jerusalem.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ordinary shares is Continental Stock Transfer &amp; Trust Co.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are listed on The Nasdaq Global Market under the symbol “NNOX.’’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4.14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SETTLEMENT AGREEMENT AND RELEASE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Settlement Agreement and Release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summarizes the terms for the settlement by and among Nano-X Imaging Ltd (“</w:t>
      </w:r>
      <w:r>
        <w:rPr>
          <w:rFonts w:ascii="Times New Roman" w:cs="Times New Roman" w:eastAsia="Times New Roman" w:hAnsi="Times New Roman"/>
          <w:sz w:val="18"/>
          <w:szCs w:val="18"/>
          <w:b w:val="1"/>
          <w:bCs w:val="1"/>
          <w:color w:val="auto"/>
        </w:rPr>
        <w:t>Nanox</w:t>
      </w:r>
      <w:r>
        <w:rPr>
          <w:rFonts w:ascii="Times New Roman" w:cs="Times New Roman" w:eastAsia="Times New Roman" w:hAnsi="Times New Roman"/>
          <w:sz w:val="18"/>
          <w:szCs w:val="18"/>
          <w:color w:val="auto"/>
        </w:rPr>
        <w:t>”), and Nano-X AI Ltd. (formerly Zebra Medical Vision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Perryllion Ltd. (the “</w:t>
      </w:r>
      <w:r>
        <w:rPr>
          <w:rFonts w:ascii="Times New Roman" w:cs="Times New Roman" w:eastAsia="Times New Roman" w:hAnsi="Times New Roman"/>
          <w:sz w:val="18"/>
          <w:szCs w:val="18"/>
          <w:b w:val="1"/>
          <w:bCs w:val="1"/>
          <w:color w:val="auto"/>
        </w:rPr>
        <w:t>Equityholders Representative</w:t>
      </w:r>
      <w:r>
        <w:rPr>
          <w:rFonts w:ascii="Times New Roman" w:cs="Times New Roman" w:eastAsia="Times New Roman" w:hAnsi="Times New Roman"/>
          <w:sz w:val="18"/>
          <w:szCs w:val="18"/>
          <w:color w:val="auto"/>
        </w:rPr>
        <w:t>”), solely in its capacity as the representative of all Equityholders, as of the 29 December 2022.</w:t>
      </w:r>
    </w:p>
    <w:p>
      <w:pPr>
        <w:spacing w:after="0" w:line="171" w:lineRule="exact"/>
        <w:rPr>
          <w:sz w:val="20"/>
          <w:szCs w:val="20"/>
          <w:color w:val="auto"/>
        </w:rPr>
      </w:pPr>
    </w:p>
    <w:p>
      <w:pPr>
        <w:jc w:val="both"/>
        <w:ind w:left="1100" w:hanging="1092"/>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are parties to that certain Agreement and Plan of Merger, dated August 9, 2021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pursuant to which Nanox became the holder of any and all security interests in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Capitalized terms used but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defined herein shall bear the meaning ascribed to such capitalized terms in the Merger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mutual claims toward one another in connection with the performance of each Party’s obligations under the Agreement;</w:t>
      </w:r>
    </w:p>
    <w:p>
      <w:pPr>
        <w:spacing w:after="0" w:line="225" w:lineRule="exact"/>
        <w:rPr>
          <w:sz w:val="20"/>
          <w:szCs w:val="20"/>
          <w:color w:val="auto"/>
        </w:rPr>
      </w:pPr>
    </w:p>
    <w:p>
      <w:pPr>
        <w:jc w:val="both"/>
        <w:ind w:left="1100" w:hanging="1092"/>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both Nanox and the Equityholders have expressed their reservations with respect to the attainment of certain milestones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including as expressed by the Equityholders in the letter dated May 9, 2022 (the “</w:t>
      </w:r>
      <w:r>
        <w:rPr>
          <w:rFonts w:ascii="Times New Roman" w:cs="Times New Roman" w:eastAsia="Times New Roman" w:hAnsi="Times New Roman"/>
          <w:sz w:val="18"/>
          <w:szCs w:val="18"/>
          <w:b w:val="1"/>
          <w:bCs w:val="1"/>
          <w:color w:val="auto"/>
        </w:rPr>
        <w:t>Equityholders Demand Letter</w:t>
      </w:r>
      <w:r>
        <w:rPr>
          <w:rFonts w:ascii="Times New Roman" w:cs="Times New Roman" w:eastAsia="Times New Roman" w:hAnsi="Times New Roman"/>
          <w:sz w:val="18"/>
          <w:szCs w:val="18"/>
          <w:color w:val="auto"/>
        </w:rPr>
        <w:t>”), and as expressed by Nanox in its response letter dated May 26, 2022 (the “</w:t>
      </w:r>
      <w:r>
        <w:rPr>
          <w:rFonts w:ascii="Times New Roman" w:cs="Times New Roman" w:eastAsia="Times New Roman" w:hAnsi="Times New Roman"/>
          <w:sz w:val="18"/>
          <w:szCs w:val="18"/>
          <w:b w:val="1"/>
          <w:bCs w:val="1"/>
          <w:color w:val="auto"/>
        </w:rPr>
        <w:t>Response Letter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left="1100" w:hanging="1092"/>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wish to reach an amicable settlement in the interest of solving any disputes between Nanox and the Equityholders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conclude all outstanding claims between the parties with respect to the Merger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promises, covenants and releases set forth herein, the Parties hereby agree as follows:</w:t>
      </w:r>
    </w:p>
    <w:p>
      <w:pPr>
        <w:spacing w:after="0" w:line="225" w:lineRule="exact"/>
        <w:rPr>
          <w:sz w:val="20"/>
          <w:szCs w:val="20"/>
          <w:color w:val="auto"/>
        </w:rPr>
      </w:pPr>
    </w:p>
    <w:p>
      <w:pPr>
        <w:ind w:left="340" w:hanging="332"/>
        <w:spacing w:after="0" w:line="286" w:lineRule="auto"/>
        <w:tabs>
          <w:tab w:leader="none" w:pos="3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Facilitation of the Settlement</w:t>
      </w:r>
      <w:r>
        <w:rPr>
          <w:rFonts w:ascii="Times New Roman" w:cs="Times New Roman" w:eastAsia="Times New Roman" w:hAnsi="Times New Roman"/>
          <w:sz w:val="18"/>
          <w:szCs w:val="18"/>
          <w:color w:val="auto"/>
        </w:rPr>
        <w:t>. In consideration for the irrevocable waiver and release of any claims pursuant to Section 3‎ herein, and in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Parties’ undertakings herein, it is hereby agreed that the following actions shall be taken within 5 business days of the date hereof:</w:t>
      </w:r>
    </w:p>
    <w:p>
      <w:pPr>
        <w:spacing w:after="0" w:line="154" w:lineRule="exact"/>
        <w:rPr>
          <w:rFonts w:ascii="Times New Roman" w:cs="Times New Roman" w:eastAsia="Times New Roman" w:hAnsi="Times New Roman"/>
          <w:sz w:val="18"/>
          <w:szCs w:val="18"/>
          <w:b w:val="1"/>
          <w:bCs w:val="1"/>
          <w:color w:val="auto"/>
        </w:rPr>
      </w:pPr>
    </w:p>
    <w:p>
      <w:pPr>
        <w:ind w:left="780" w:hanging="445"/>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u w:val="single" w:color="auto"/>
          <w:color w:val="auto"/>
        </w:rPr>
        <w:t>Issuance of Additional Purchaser Share Consideration to the Equityholders</w:t>
      </w:r>
      <w:r>
        <w:rPr>
          <w:rFonts w:ascii="Times New Roman" w:cs="Times New Roman" w:eastAsia="Times New Roman" w:hAnsi="Times New Roman"/>
          <w:sz w:val="18"/>
          <w:szCs w:val="18"/>
          <w:color w:val="auto"/>
        </w:rPr>
        <w:t>. Nanox shall issue within 5 business days of the date hereof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Paying Agent, for the benefit of the Equityholders, 2,648,424 Purchaser Share Consideration (the “</w:t>
      </w:r>
      <w:r>
        <w:rPr>
          <w:rFonts w:ascii="Times New Roman" w:cs="Times New Roman" w:eastAsia="Times New Roman" w:hAnsi="Times New Roman"/>
          <w:sz w:val="18"/>
          <w:szCs w:val="18"/>
          <w:b w:val="1"/>
          <w:bCs w:val="1"/>
          <w:color w:val="auto"/>
        </w:rPr>
        <w:t>Settlement Issued Consideration</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780" w:hanging="445"/>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u w:val="single" w:color="auto"/>
          <w:color w:val="auto"/>
        </w:rPr>
        <w:t>Release of Purchaser Share Consideration from the Indemnity Escrow Account to the Equityholders</w:t>
      </w:r>
      <w:r>
        <w:rPr>
          <w:rFonts w:ascii="Times New Roman" w:cs="Times New Roman" w:eastAsia="Times New Roman" w:hAnsi="Times New Roman"/>
          <w:sz w:val="18"/>
          <w:szCs w:val="18"/>
          <w:color w:val="auto"/>
        </w:rPr>
        <w:t>. Nanox shall instruct the Escrow Agent,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providing it with instructions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within 5 business days of the date hereof, to release to the Paying Agent, for the benefit of the Equityholders, 301,375 Purchaser Share Consideration which comprise all of the remaining Purchaser Share Consideration in the Indemnity Escrow Account (together with the Settlement Issued Consideration, the “</w:t>
      </w:r>
      <w:r>
        <w:rPr>
          <w:rFonts w:ascii="Times New Roman" w:cs="Times New Roman" w:eastAsia="Times New Roman" w:hAnsi="Times New Roman"/>
          <w:sz w:val="18"/>
          <w:szCs w:val="18"/>
          <w:b w:val="1"/>
          <w:bCs w:val="1"/>
          <w:color w:val="auto"/>
        </w:rPr>
        <w:t>Final Settlement Consideration</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w:t>
      </w:r>
      <w:r>
        <w:rPr>
          <w:rFonts w:ascii="Times New Roman" w:cs="Times New Roman" w:eastAsia="Times New Roman" w:hAnsi="Times New Roman"/>
          <w:sz w:val="18"/>
          <w:szCs w:val="18"/>
          <w:color w:val="auto"/>
        </w:rPr>
        <w:t>. Any payment of any amounts under this Agreement shall be subject to the withholding of taxes and other deductions as per applicable law.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4" w:name="page185"/>
    <w:bookmarkEnd w:id="184"/>
    <w:p>
      <w:pPr>
        <w:ind w:left="340" w:hanging="332"/>
        <w:spacing w:after="0"/>
        <w:tabs>
          <w:tab w:leader="none" w:pos="3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Mutual Waiver and Release</w:t>
      </w:r>
    </w:p>
    <w:p>
      <w:pPr>
        <w:spacing w:after="0" w:line="225" w:lineRule="exact"/>
        <w:rPr>
          <w:sz w:val="20"/>
          <w:szCs w:val="20"/>
          <w:color w:val="auto"/>
        </w:rPr>
      </w:pPr>
    </w:p>
    <w:p>
      <w:pPr>
        <w:jc w:val="both"/>
        <w:ind w:left="780" w:hanging="444"/>
        <w:spacing w:after="0" w:line="266" w:lineRule="auto"/>
        <w:tabs>
          <w:tab w:leader="none" w:pos="76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color w:val="auto"/>
        </w:rPr>
        <w:t>Subject to, and as of the receipt of, an approval from the Paying Agent that it has received documentation from Nanox which provides that all of the Final Settlement Consideration has been released or issued, as the case may be, by the Escrow Agent and Nanox to the Paying Agent, the following will apply:</w:t>
      </w:r>
    </w:p>
    <w:p>
      <w:pPr>
        <w:spacing w:after="0" w:line="176" w:lineRule="exact"/>
        <w:rPr>
          <w:sz w:val="20"/>
          <w:szCs w:val="20"/>
          <w:color w:val="auto"/>
        </w:rPr>
      </w:pPr>
    </w:p>
    <w:p>
      <w:pPr>
        <w:jc w:val="both"/>
        <w:ind w:left="1420" w:hanging="647"/>
        <w:spacing w:after="0" w:line="253"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3.1.1.</w:t>
      </w:r>
      <w:r>
        <w:rPr>
          <w:sz w:val="20"/>
          <w:szCs w:val="20"/>
          <w:color w:val="auto"/>
        </w:rPr>
        <w:tab/>
      </w:r>
      <w:r>
        <w:rPr>
          <w:rFonts w:ascii="Times New Roman" w:cs="Times New Roman" w:eastAsia="Times New Roman" w:hAnsi="Times New Roman"/>
          <w:sz w:val="18"/>
          <w:szCs w:val="18"/>
          <w:color w:val="auto"/>
        </w:rPr>
        <w:t>Other than with respect to claims arising under this Agreement, the Equityholders Representative, on behalf of itself and of all Equityholdersand any of the respective heirs, subsidiaries, successors, agents, parent company or assigns thereof (the “</w:t>
      </w:r>
      <w:r>
        <w:rPr>
          <w:rFonts w:ascii="Times New Roman" w:cs="Times New Roman" w:eastAsia="Times New Roman" w:hAnsi="Times New Roman"/>
          <w:sz w:val="18"/>
          <w:szCs w:val="18"/>
          <w:b w:val="1"/>
          <w:bCs w:val="1"/>
          <w:color w:val="auto"/>
        </w:rPr>
        <w:t>Equityholders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Releasors</w:t>
      </w:r>
      <w:r>
        <w:rPr>
          <w:rFonts w:ascii="Times New Roman" w:cs="Times New Roman" w:eastAsia="Times New Roman" w:hAnsi="Times New Roman"/>
          <w:sz w:val="18"/>
          <w:szCs w:val="18"/>
          <w:color w:val="auto"/>
        </w:rPr>
        <w:t>”) hereby fully, forever, irrevocably and unconditionally releases, remises and discharges Nanox, the Company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heirs, successors, assigns, principals, partners, shareholders, officers, directors, affiliates, subsidiaries, agents, advisors and employees and their respective shareholders, officers, directors and affiliates (hereinafter collectively, the “</w:t>
      </w:r>
      <w:r>
        <w:rPr>
          <w:rFonts w:ascii="Times New Roman" w:cs="Times New Roman" w:eastAsia="Times New Roman" w:hAnsi="Times New Roman"/>
          <w:sz w:val="18"/>
          <w:szCs w:val="18"/>
          <w:b w:val="1"/>
          <w:bCs w:val="1"/>
          <w:color w:val="auto"/>
        </w:rPr>
        <w:t>Nanox Released Parties</w:t>
      </w:r>
      <w:r>
        <w:rPr>
          <w:rFonts w:ascii="Times New Roman" w:cs="Times New Roman" w:eastAsia="Times New Roman" w:hAnsi="Times New Roman"/>
          <w:sz w:val="18"/>
          <w:szCs w:val="18"/>
          <w:color w:val="auto"/>
        </w:rPr>
        <w:t>”) from any and all claims, charges, complaints, demands, actions, causes of action, suits, rights, debts, sums of money, costs (inclusive of legal fees), accounts, reckonings, covenants, contracts, agreements, promises, doings, omissions, damages, executions, obligations, liabilities and expenses, of every kind and nature (whether known or unknown) that Equityholders Releasors ever had or now has against any of the Nanox Released Parties, including, but not limited to, all claims arising out the Merger Agreement, and in particular, the Earn-out Consideration and the Deferred Closing Consideration, and out of the Equityholders Demand Letter. Further, the Equityholders Releasors forever, irrevocably and unconditionally waive and undertake never to assert or otherwise institute or cause or assist to be instituted, any claims or actions against the Nanox Released Parties in connection with or arising out of the Merger Agreement and/or this Agreement (other than with respect to claims arising out of the non-performance of this Agreement).</w:t>
      </w:r>
    </w:p>
    <w:p>
      <w:pPr>
        <w:spacing w:after="0" w:line="187" w:lineRule="exact"/>
        <w:rPr>
          <w:sz w:val="20"/>
          <w:szCs w:val="20"/>
          <w:color w:val="auto"/>
        </w:rPr>
      </w:pPr>
    </w:p>
    <w:p>
      <w:pPr>
        <w:jc w:val="both"/>
        <w:ind w:left="1420" w:hanging="647"/>
        <w:spacing w:after="0" w:line="253"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3.1.2.</w:t>
      </w:r>
      <w:r>
        <w:rPr>
          <w:sz w:val="20"/>
          <w:szCs w:val="20"/>
          <w:color w:val="auto"/>
        </w:rPr>
        <w:tab/>
      </w:r>
      <w:r>
        <w:rPr>
          <w:rFonts w:ascii="Times New Roman" w:cs="Times New Roman" w:eastAsia="Times New Roman" w:hAnsi="Times New Roman"/>
          <w:sz w:val="18"/>
          <w:szCs w:val="18"/>
          <w:color w:val="auto"/>
        </w:rPr>
        <w:t>Other than with respect to claims arising under this Agreement, each of Nanox and the Company for itself and any of their respective subsidiaries, successors, parent company, agents, or assigns thereof (the “</w:t>
      </w:r>
      <w:r>
        <w:rPr>
          <w:rFonts w:ascii="Times New Roman" w:cs="Times New Roman" w:eastAsia="Times New Roman" w:hAnsi="Times New Roman"/>
          <w:sz w:val="18"/>
          <w:szCs w:val="18"/>
          <w:b w:val="1"/>
          <w:bCs w:val="1"/>
          <w:color w:val="auto"/>
        </w:rPr>
        <w:t>Nanox Releasors</w:t>
      </w:r>
      <w:r>
        <w:rPr>
          <w:rFonts w:ascii="Times New Roman" w:cs="Times New Roman" w:eastAsia="Times New Roman" w:hAnsi="Times New Roman"/>
          <w:sz w:val="18"/>
          <w:szCs w:val="18"/>
          <w:color w:val="auto"/>
        </w:rPr>
        <w:t>”), do hereby fully, forever, irrevocably and unconditionally release, remise and discharge the Equityholders Releasors and their respective heirs, successors, assigns, principals, partners, shareholders, officers, directors, affiliates, subsidiaries, agents, advisors and employees and their respective shareholders, officers, directors and affiliates (hereinafter collectively, the “</w:t>
      </w:r>
      <w:r>
        <w:rPr>
          <w:rFonts w:ascii="Times New Roman" w:cs="Times New Roman" w:eastAsia="Times New Roman" w:hAnsi="Times New Roman"/>
          <w:sz w:val="18"/>
          <w:szCs w:val="18"/>
          <w:b w:val="1"/>
          <w:bCs w:val="1"/>
          <w:color w:val="auto"/>
        </w:rPr>
        <w:t>Equityholders Released Parties</w:t>
      </w:r>
      <w:r>
        <w:rPr>
          <w:rFonts w:ascii="Times New Roman" w:cs="Times New Roman" w:eastAsia="Times New Roman" w:hAnsi="Times New Roman"/>
          <w:sz w:val="18"/>
          <w:szCs w:val="18"/>
          <w:color w:val="auto"/>
        </w:rPr>
        <w:t>”) from any and all claims, charges, complaints, demands, actions, causes of action, suits, rights, debts, sums of money, costs (inclusive of legal fees), accounts, reckonings, covenants, contracts, agreements, promises, doings, omissions, damages, executions, obligations, liabilities and expenses, of every kind and nature (whether known or unknown) that the Nanox Releasors ever had or now have against any of the Equityholders Released Parties, including, but not limited to all claims arising out of the Merger Agreement and the Response Letter. Further, the Nanox Releasors forever, irrevocably and unconditionally waive and undertake never to assert or otherwise institute or cause or assist to be instituted, any claims or actions against the Equityholders Released Parties in connection with or arising out of the Merger Agreement and/or this Agreement (other than with respect to claims arising out of the non-performance of this Agreement).</w:t>
      </w:r>
    </w:p>
    <w:p>
      <w:pPr>
        <w:spacing w:after="0" w:line="190" w:lineRule="exact"/>
        <w:rPr>
          <w:sz w:val="20"/>
          <w:szCs w:val="20"/>
          <w:color w:val="auto"/>
        </w:rPr>
      </w:pPr>
    </w:p>
    <w:p>
      <w:pPr>
        <w:jc w:val="both"/>
        <w:ind w:left="780" w:hanging="444"/>
        <w:spacing w:after="0" w:line="255" w:lineRule="auto"/>
        <w:tabs>
          <w:tab w:leader="none" w:pos="76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color w:val="auto"/>
        </w:rPr>
        <w:t>The Equityholders Releasors and the Nanox Releasors acknowledge that they may hereafter discover facts in addition to or different from those which they now know or believe to be true with respect to the subject matter of this Section 3, but it is their intention to fully and finally and forever settle and release any and all matters, disputes and differences, known or unknown, suspected and unsuspected, which do now exist, may exist or heretofore have existed between any Nanox Released Parties and the Equityholders Released Party with respect to the subject matter of this Section 3 (excluding, for the avoidance of doubt, claims arising out of the non-performance of this Agreement). In furtherance of this intention, the releases herein shall be and remain in effect as full and complete general releases notwithstanding the discovery or existence of any such additional or different facts.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5" w:name="page186"/>
    <w:bookmarkEnd w:id="185"/>
    <w:p>
      <w:pPr>
        <w:ind w:left="340" w:hanging="332"/>
        <w:spacing w:after="0"/>
        <w:tabs>
          <w:tab w:leader="none" w:pos="3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u w:val="single" w:color="auto"/>
          <w:color w:val="auto"/>
        </w:rPr>
        <w:t>Each of the Parties hereby represents and warrants that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420" w:right="20" w:hanging="647"/>
        <w:spacing w:after="0" w:line="282"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4.1.1.</w:t>
      </w:r>
      <w:r>
        <w:rPr>
          <w:sz w:val="20"/>
          <w:szCs w:val="20"/>
          <w:color w:val="auto"/>
        </w:rPr>
        <w:tab/>
      </w:r>
      <w:r>
        <w:rPr>
          <w:rFonts w:ascii="Times New Roman" w:cs="Times New Roman" w:eastAsia="Times New Roman" w:hAnsi="Times New Roman"/>
          <w:sz w:val="18"/>
          <w:szCs w:val="18"/>
          <w:color w:val="auto"/>
        </w:rPr>
        <w:t>It has received the advice of independent counsel of their own choosing in connection with the preparation and execution of this Agreement;</w:t>
      </w:r>
    </w:p>
    <w:p>
      <w:pPr>
        <w:spacing w:after="0" w:line="162" w:lineRule="exact"/>
        <w:rPr>
          <w:sz w:val="20"/>
          <w:szCs w:val="20"/>
          <w:color w:val="auto"/>
        </w:rPr>
      </w:pPr>
    </w:p>
    <w:p>
      <w:pPr>
        <w:ind w:left="78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4.1.2.</w:t>
      </w:r>
      <w:r>
        <w:rPr>
          <w:sz w:val="20"/>
          <w:szCs w:val="20"/>
          <w:color w:val="auto"/>
        </w:rPr>
        <w:tab/>
      </w:r>
      <w:r>
        <w:rPr>
          <w:rFonts w:ascii="Times New Roman" w:cs="Times New Roman" w:eastAsia="Times New Roman" w:hAnsi="Times New Roman"/>
          <w:sz w:val="17"/>
          <w:szCs w:val="17"/>
          <w:color w:val="auto"/>
        </w:rPr>
        <w:t>It has carefully read and fully understand the meaning and effect of the terms of this Agreement;</w:t>
      </w:r>
    </w:p>
    <w:p>
      <w:pPr>
        <w:spacing w:after="0" w:line="225" w:lineRule="exact"/>
        <w:rPr>
          <w:sz w:val="20"/>
          <w:szCs w:val="20"/>
          <w:color w:val="auto"/>
        </w:rPr>
      </w:pPr>
    </w:p>
    <w:p>
      <w:pPr>
        <w:ind w:left="78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4.1.3.</w:t>
      </w:r>
      <w:r>
        <w:rPr>
          <w:sz w:val="20"/>
          <w:szCs w:val="20"/>
          <w:color w:val="auto"/>
        </w:rPr>
        <w:tab/>
      </w:r>
      <w:r>
        <w:rPr>
          <w:rFonts w:ascii="Times New Roman" w:cs="Times New Roman" w:eastAsia="Times New Roman" w:hAnsi="Times New Roman"/>
          <w:sz w:val="18"/>
          <w:szCs w:val="18"/>
          <w:color w:val="auto"/>
        </w:rPr>
        <w:t>The entry into and execution of this Agreement are of their own free and voluntary act and deed, without compulsion of any kind;</w:t>
      </w:r>
    </w:p>
    <w:p>
      <w:pPr>
        <w:spacing w:after="0" w:line="225" w:lineRule="exact"/>
        <w:rPr>
          <w:sz w:val="20"/>
          <w:szCs w:val="20"/>
          <w:color w:val="auto"/>
        </w:rPr>
      </w:pPr>
    </w:p>
    <w:p>
      <w:pPr>
        <w:jc w:val="both"/>
        <w:ind w:left="1420" w:hanging="647"/>
        <w:spacing w:after="0" w:line="282"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4.1.4.</w:t>
      </w:r>
      <w:r>
        <w:rPr>
          <w:sz w:val="20"/>
          <w:szCs w:val="20"/>
          <w:color w:val="auto"/>
        </w:rPr>
        <w:tab/>
      </w:r>
      <w:r>
        <w:rPr>
          <w:rFonts w:ascii="Times New Roman" w:cs="Times New Roman" w:eastAsia="Times New Roman" w:hAnsi="Times New Roman"/>
          <w:sz w:val="18"/>
          <w:szCs w:val="18"/>
          <w:color w:val="auto"/>
        </w:rPr>
        <w:t>It is not relying upon any statement or representation of any person hereby released, or any legal counsel other than their own personal counsel, and no promise or inducement that is not herein expressed has been made to them;</w:t>
      </w:r>
    </w:p>
    <w:p>
      <w:pPr>
        <w:spacing w:after="0" w:line="162" w:lineRule="exact"/>
        <w:rPr>
          <w:sz w:val="20"/>
          <w:szCs w:val="20"/>
          <w:color w:val="auto"/>
        </w:rPr>
      </w:pPr>
    </w:p>
    <w:p>
      <w:pPr>
        <w:ind w:left="78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4.1.5.</w:t>
      </w:r>
      <w:r>
        <w:rPr>
          <w:sz w:val="20"/>
          <w:szCs w:val="20"/>
          <w:color w:val="auto"/>
        </w:rPr>
        <w:tab/>
      </w:r>
      <w:r>
        <w:rPr>
          <w:rFonts w:ascii="Times New Roman" w:cs="Times New Roman" w:eastAsia="Times New Roman" w:hAnsi="Times New Roman"/>
          <w:sz w:val="18"/>
          <w:szCs w:val="18"/>
          <w:color w:val="auto"/>
        </w:rPr>
        <w:t>It has not assigned any claims released as part of this Agreement; and</w:t>
      </w:r>
    </w:p>
    <w:p>
      <w:pPr>
        <w:spacing w:after="0" w:line="225" w:lineRule="exact"/>
        <w:rPr>
          <w:sz w:val="20"/>
          <w:szCs w:val="20"/>
          <w:color w:val="auto"/>
        </w:rPr>
      </w:pPr>
    </w:p>
    <w:p>
      <w:pPr>
        <w:ind w:left="78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4.1.6.</w:t>
      </w:r>
      <w:r>
        <w:rPr>
          <w:sz w:val="20"/>
          <w:szCs w:val="20"/>
          <w:color w:val="auto"/>
        </w:rPr>
        <w:tab/>
      </w:r>
      <w:r>
        <w:rPr>
          <w:rFonts w:ascii="Times New Roman" w:cs="Times New Roman" w:eastAsia="Times New Roman" w:hAnsi="Times New Roman"/>
          <w:sz w:val="17"/>
          <w:szCs w:val="17"/>
          <w:color w:val="auto"/>
        </w:rPr>
        <w:t>The below signatories have full competency, power and authority to execute and perform this Agreement.</w:t>
      </w:r>
    </w:p>
    <w:p>
      <w:pPr>
        <w:spacing w:after="0" w:line="225"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u w:val="single" w:color="auto"/>
          <w:color w:val="auto"/>
        </w:rPr>
        <w:t>The Equityholders Representative (on behalf of itself and all of the Equityholders) hereby represent and warrant that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420" w:hanging="647"/>
        <w:spacing w:after="0" w:line="266"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4.2.1.</w:t>
      </w:r>
      <w:r>
        <w:rPr>
          <w:sz w:val="20"/>
          <w:szCs w:val="20"/>
          <w:color w:val="auto"/>
        </w:rPr>
        <w:tab/>
      </w:r>
      <w:r>
        <w:rPr>
          <w:rFonts w:ascii="Times New Roman" w:cs="Times New Roman" w:eastAsia="Times New Roman" w:hAnsi="Times New Roman"/>
          <w:sz w:val="18"/>
          <w:szCs w:val="18"/>
          <w:color w:val="auto"/>
        </w:rPr>
        <w:t>They are aware that the Purchaser Share Consideration issued or transferred to the Paying Agent as the Final Settlement Consideration may be restricted according to U.S. securities laws and regulations thereunder and may only be transferred and sold in accordance with applicable securities laws and regulations.</w:t>
      </w:r>
    </w:p>
    <w:p>
      <w:pPr>
        <w:spacing w:after="0" w:line="176" w:lineRule="exact"/>
        <w:rPr>
          <w:sz w:val="20"/>
          <w:szCs w:val="20"/>
          <w:color w:val="auto"/>
        </w:rPr>
      </w:pPr>
    </w:p>
    <w:p>
      <w:pPr>
        <w:jc w:val="both"/>
        <w:ind w:left="1420" w:hanging="647"/>
        <w:spacing w:after="0" w:line="266"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4.2.2.</w:t>
      </w:r>
      <w:r>
        <w:rPr>
          <w:sz w:val="20"/>
          <w:szCs w:val="20"/>
          <w:color w:val="auto"/>
        </w:rPr>
        <w:tab/>
      </w:r>
      <w:r>
        <w:rPr>
          <w:rFonts w:ascii="Times New Roman" w:cs="Times New Roman" w:eastAsia="Times New Roman" w:hAnsi="Times New Roman"/>
          <w:sz w:val="18"/>
          <w:szCs w:val="18"/>
          <w:color w:val="auto"/>
        </w:rPr>
        <w:t>There is no proxy, voting trust, voting agreement, calls or other commitment or arrangement among the Equityholders with respect to the Purchaser Share Consideration issued to the Equityholders as the Final Settlement Consideration or with respect to any other Purchaser Share Consideration previously issued to the Equityholders pursuant to the Merger Agreement.</w:t>
      </w:r>
    </w:p>
    <w:p>
      <w:pPr>
        <w:spacing w:after="0" w:line="176" w:lineRule="exact"/>
        <w:rPr>
          <w:sz w:val="20"/>
          <w:szCs w:val="20"/>
          <w:color w:val="auto"/>
        </w:rPr>
      </w:pPr>
    </w:p>
    <w:p>
      <w:pPr>
        <w:jc w:val="both"/>
        <w:ind w:left="340" w:hanging="332"/>
        <w:spacing w:after="0" w:line="268" w:lineRule="auto"/>
        <w:tabs>
          <w:tab w:leader="none" w:pos="3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This Agreement is confidential and will only be disclosed as required under the disclosure rules applicable to Nanox as a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the Equityholders and by each Party and the Equityholders to its respective legal counsel and/or in order to enforce and/or execute this Agreement.</w:t>
      </w:r>
    </w:p>
    <w:p>
      <w:pPr>
        <w:spacing w:after="0" w:line="170"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w:t>
      </w:r>
    </w:p>
    <w:p>
      <w:pPr>
        <w:spacing w:after="0" w:line="225" w:lineRule="exact"/>
        <w:rPr>
          <w:rFonts w:ascii="Times New Roman" w:cs="Times New Roman" w:eastAsia="Times New Roman" w:hAnsi="Times New Roman"/>
          <w:sz w:val="18"/>
          <w:szCs w:val="18"/>
          <w:b w:val="1"/>
          <w:bCs w:val="1"/>
          <w:color w:val="auto"/>
        </w:rPr>
      </w:pPr>
    </w:p>
    <w:p>
      <w:pPr>
        <w:ind w:left="780" w:hanging="445"/>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u w:val="single" w:color="auto"/>
          <w:color w:val="auto"/>
        </w:rPr>
        <w:t>Non-Admission</w:t>
      </w:r>
      <w:r>
        <w:rPr>
          <w:rFonts w:ascii="Times New Roman" w:cs="Times New Roman" w:eastAsia="Times New Roman" w:hAnsi="Times New Roman"/>
          <w:sz w:val="18"/>
          <w:szCs w:val="18"/>
          <w:color w:val="auto"/>
        </w:rPr>
        <w:t>. This Agreement constitutes a compromise, settlement, and release of disputed claims and is being entered into solely to avoid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burden, inconvenience, and expense of litigating those claims. The Parties agree that neither the entry into nor performance of this Agreement shall be construed as an admission of liability or any other acts of wrongdoing or of the truth of any of the claims or allegations asserted in the Equityholders Demand Letter or the Response Letter (as applicable) or any other action or proceeding.</w:t>
      </w:r>
    </w:p>
    <w:p>
      <w:pPr>
        <w:spacing w:after="0" w:line="180" w:lineRule="exact"/>
        <w:rPr>
          <w:rFonts w:ascii="Times New Roman" w:cs="Times New Roman" w:eastAsia="Times New Roman" w:hAnsi="Times New Roman"/>
          <w:sz w:val="18"/>
          <w:szCs w:val="18"/>
          <w:b w:val="1"/>
          <w:bCs w:val="1"/>
          <w:color w:val="auto"/>
        </w:rPr>
      </w:pPr>
    </w:p>
    <w:p>
      <w:pPr>
        <w:jc w:val="center"/>
        <w:ind w:left="780" w:right="20" w:hanging="445"/>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Parties shall each bear their own costs and attorney fees incurred in connection with this Agreement, and each waives the right to make a claim against the other for such costs, attorney fees or any other expenses associated with the matters being settled here.</w:t>
      </w:r>
    </w:p>
    <w:p>
      <w:pPr>
        <w:spacing w:after="0" w:line="157" w:lineRule="exact"/>
        <w:rPr>
          <w:rFonts w:ascii="Times New Roman" w:cs="Times New Roman" w:eastAsia="Times New Roman" w:hAnsi="Times New Roman"/>
          <w:sz w:val="18"/>
          <w:szCs w:val="18"/>
          <w:b w:val="1"/>
          <w:bCs w:val="1"/>
          <w:color w:val="auto"/>
        </w:rPr>
      </w:pPr>
    </w:p>
    <w:p>
      <w:pPr>
        <w:ind w:left="780" w:hanging="445"/>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u w:val="single" w:color="auto"/>
          <w:color w:val="auto"/>
        </w:rPr>
        <w:t>Choice of Law and Jurisdiction</w:t>
      </w:r>
      <w:r>
        <w:rPr>
          <w:rFonts w:ascii="Times New Roman" w:cs="Times New Roman" w:eastAsia="Times New Roman" w:hAnsi="Times New Roman"/>
          <w:sz w:val="18"/>
          <w:szCs w:val="18"/>
          <w:color w:val="auto"/>
        </w:rPr>
        <w:t>. All matters relating to this Agreement and arising therefrom shall be governed by, and construed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laws of the State of Israel, without giving effect to its conflict of law provisions. The courts of Tel Aviv, Israel shall have exclusive jurisdiction with respect to all matters relating to our arising out of this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6" w:name="page187"/>
    <w:bookmarkEnd w:id="186"/>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7"/>
          <w:szCs w:val="17"/>
          <w:u w:val="single" w:color="auto"/>
          <w:color w:val="auto"/>
        </w:rPr>
        <w:t>Survival of Representations and Warranties</w:t>
      </w:r>
      <w:r>
        <w:rPr>
          <w:rFonts w:ascii="Times New Roman" w:cs="Times New Roman" w:eastAsia="Times New Roman" w:hAnsi="Times New Roman"/>
          <w:sz w:val="17"/>
          <w:szCs w:val="17"/>
          <w:color w:val="auto"/>
        </w:rPr>
        <w:t>. The representations and warranties in this Agreement shall survive the Effective Date in perpetuity.</w:t>
      </w:r>
    </w:p>
    <w:p>
      <w:pPr>
        <w:spacing w:after="0" w:line="225" w:lineRule="exact"/>
        <w:rPr>
          <w:sz w:val="20"/>
          <w:szCs w:val="20"/>
          <w:color w:val="auto"/>
        </w:rPr>
      </w:pPr>
    </w:p>
    <w:p>
      <w:pPr>
        <w:jc w:val="both"/>
        <w:ind w:left="440" w:hanging="444"/>
        <w:spacing w:after="0" w:line="266" w:lineRule="auto"/>
        <w:tabs>
          <w:tab w:leader="none" w:pos="42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8"/>
          <w:szCs w:val="18"/>
          <w:u w:val="single" w:color="auto"/>
          <w:color w:val="auto"/>
        </w:rPr>
        <w:t>Attorney’s Fees in the Event of Dispute</w:t>
      </w:r>
      <w:r>
        <w:rPr>
          <w:rFonts w:ascii="Times New Roman" w:cs="Times New Roman" w:eastAsia="Times New Roman" w:hAnsi="Times New Roman"/>
          <w:sz w:val="18"/>
          <w:szCs w:val="18"/>
          <w:color w:val="auto"/>
        </w:rPr>
        <w:t>. If any legal action, dispute, or other proceeding arises or is commenced to interpret, enforce or recover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damages for the breach of any term of this Agreement, the prevailing Party shall be entitled to recover from the non-prevailing Party all of its fees and costs in connection therewith, including, without limitation, its attorneys’ fees and lawsuit costs .</w:t>
      </w:r>
    </w:p>
    <w:p>
      <w:pPr>
        <w:spacing w:after="0" w:line="176" w:lineRule="exact"/>
        <w:rPr>
          <w:sz w:val="20"/>
          <w:szCs w:val="20"/>
          <w:color w:val="auto"/>
        </w:rPr>
      </w:pPr>
    </w:p>
    <w:p>
      <w:pPr>
        <w:jc w:val="both"/>
        <w:ind w:left="440" w:hanging="444"/>
        <w:spacing w:after="0" w:line="266" w:lineRule="auto"/>
        <w:tabs>
          <w:tab w:leader="none" w:pos="42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8"/>
          <w:szCs w:val="18"/>
          <w:u w:val="single" w:color="auto"/>
          <w:color w:val="auto"/>
        </w:rPr>
        <w:t>Participation in Drafting</w:t>
      </w:r>
      <w:r>
        <w:rPr>
          <w:rFonts w:ascii="Times New Roman" w:cs="Times New Roman" w:eastAsia="Times New Roman" w:hAnsi="Times New Roman"/>
          <w:sz w:val="18"/>
          <w:szCs w:val="18"/>
          <w:color w:val="auto"/>
        </w:rPr>
        <w:t>. Each Party has participated in, cooperated in, or contributed to the drafting and preparation of this Agreement. In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construction of this Agreement, the same shall not be construed for, or against, any Party, but shall be construed fairly according to its plain meaning.</w:t>
      </w:r>
    </w:p>
    <w:p>
      <w:pPr>
        <w:spacing w:after="0" w:line="176" w:lineRule="exact"/>
        <w:rPr>
          <w:sz w:val="20"/>
          <w:szCs w:val="20"/>
          <w:color w:val="auto"/>
        </w:rPr>
      </w:pPr>
    </w:p>
    <w:p>
      <w:pPr>
        <w:jc w:val="both"/>
        <w:ind w:left="440" w:hanging="444"/>
        <w:spacing w:after="0" w:line="277" w:lineRule="auto"/>
        <w:tabs>
          <w:tab w:leader="none" w:pos="420" w:val="left"/>
        </w:tabs>
        <w:rPr>
          <w:sz w:val="20"/>
          <w:szCs w:val="20"/>
          <w:color w:val="auto"/>
        </w:rPr>
      </w:pPr>
      <w:r>
        <w:rPr>
          <w:rFonts w:ascii="Times New Roman" w:cs="Times New Roman" w:eastAsia="Times New Roman" w:hAnsi="Times New Roman"/>
          <w:sz w:val="18"/>
          <w:szCs w:val="18"/>
          <w:b w:val="1"/>
          <w:bCs w:val="1"/>
          <w:color w:val="auto"/>
        </w:rPr>
        <w:t>6.7.</w:t>
      </w:r>
      <w:r>
        <w:rPr>
          <w:sz w:val="20"/>
          <w:szCs w:val="20"/>
          <w:color w:val="auto"/>
        </w:rPr>
        <w:tab/>
      </w:r>
      <w:r>
        <w:rPr>
          <w:rFonts w:ascii="Times New Roman" w:cs="Times New Roman" w:eastAsia="Times New Roman" w:hAnsi="Times New Roman"/>
          <w:sz w:val="17"/>
          <w:szCs w:val="17"/>
          <w:u w:val="single" w:color="auto"/>
          <w:color w:val="auto"/>
        </w:rPr>
        <w:t>Modification and Severability</w:t>
      </w:r>
      <w:r>
        <w:rPr>
          <w:rFonts w:ascii="Times New Roman" w:cs="Times New Roman" w:eastAsia="Times New Roman" w:hAnsi="Times New Roman"/>
          <w:sz w:val="17"/>
          <w:szCs w:val="17"/>
          <w:color w:val="auto"/>
        </w:rPr>
        <w:t>. The Parties agree that this Agreement may not be modified, altered, amended, or otherwise changed except upon</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written consent by each of the Parties hereto. Should any provision of this Agreement be held invalid or unenforceable by a court of competent jurisdiction, the Parties agree that the remaining provisions shall remain in full force and effect. Where provisions of any applicable law resulting in such invalidity or unenforceability may be waived, they are hereby waived by each Party to the fullest extent permitted so that this Agreement shall be deemed valid and binding agreements, in each case enforceable in accordance with its terms and to the greatest extent permitted by law.</w:t>
      </w:r>
    </w:p>
    <w:p>
      <w:pPr>
        <w:spacing w:after="0" w:line="168" w:lineRule="exact"/>
        <w:rPr>
          <w:sz w:val="20"/>
          <w:szCs w:val="20"/>
          <w:color w:val="auto"/>
        </w:rPr>
      </w:pPr>
    </w:p>
    <w:p>
      <w:pPr>
        <w:jc w:val="both"/>
        <w:ind w:left="440" w:hanging="444"/>
        <w:spacing w:after="0" w:line="266" w:lineRule="auto"/>
        <w:tabs>
          <w:tab w:leader="none" w:pos="420" w:val="left"/>
        </w:tabs>
        <w:rPr>
          <w:sz w:val="20"/>
          <w:szCs w:val="20"/>
          <w:color w:val="auto"/>
        </w:rPr>
      </w:pPr>
      <w:r>
        <w:rPr>
          <w:rFonts w:ascii="Times New Roman" w:cs="Times New Roman" w:eastAsia="Times New Roman" w:hAnsi="Times New Roman"/>
          <w:sz w:val="18"/>
          <w:szCs w:val="18"/>
          <w:b w:val="1"/>
          <w:bCs w:val="1"/>
          <w:color w:val="auto"/>
        </w:rPr>
        <w:t>6.8.</w:t>
      </w:r>
      <w:r>
        <w:rPr>
          <w:sz w:val="20"/>
          <w:szCs w:val="20"/>
          <w:color w:val="auto"/>
        </w:rPr>
        <w:tab/>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Neither the failure of either Party to exercise any power given such Party hereunder or to insist upon strict compliance by the other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Party with its obligations hereunder, nor any custom or practice of the Parties at variance with the terms hereof shall constitute a waiver of either Party’s right to demand exact compliance with the terms hereof.</w:t>
      </w:r>
    </w:p>
    <w:p>
      <w:pPr>
        <w:spacing w:after="0" w:line="176" w:lineRule="exact"/>
        <w:rPr>
          <w:sz w:val="20"/>
          <w:szCs w:val="20"/>
          <w:color w:val="auto"/>
        </w:rPr>
      </w:pPr>
    </w:p>
    <w:p>
      <w:pPr>
        <w:jc w:val="both"/>
        <w:ind w:left="440" w:hanging="444"/>
        <w:spacing w:after="0" w:line="261" w:lineRule="auto"/>
        <w:tabs>
          <w:tab w:leader="none" w:pos="420" w:val="left"/>
        </w:tabs>
        <w:rPr>
          <w:sz w:val="20"/>
          <w:szCs w:val="20"/>
          <w:color w:val="auto"/>
        </w:rPr>
      </w:pPr>
      <w:r>
        <w:rPr>
          <w:rFonts w:ascii="Times New Roman" w:cs="Times New Roman" w:eastAsia="Times New Roman" w:hAnsi="Times New Roman"/>
          <w:sz w:val="18"/>
          <w:szCs w:val="18"/>
          <w:b w:val="1"/>
          <w:bCs w:val="1"/>
          <w:color w:val="auto"/>
        </w:rPr>
        <w:t>6.9.</w:t>
      </w:r>
      <w:r>
        <w:rPr>
          <w:sz w:val="20"/>
          <w:szCs w:val="20"/>
          <w:color w:val="auto"/>
        </w:rPr>
        <w:tab/>
      </w:r>
      <w:r>
        <w:rPr>
          <w:rFonts w:ascii="Times New Roman" w:cs="Times New Roman" w:eastAsia="Times New Roman" w:hAnsi="Times New Roman"/>
          <w:sz w:val="18"/>
          <w:szCs w:val="18"/>
          <w:u w:val="single" w:color="auto"/>
          <w:color w:val="auto"/>
        </w:rPr>
        <w:t>Successors and Counterparts</w:t>
      </w:r>
      <w:r>
        <w:rPr>
          <w:rFonts w:ascii="Times New Roman" w:cs="Times New Roman" w:eastAsia="Times New Roman" w:hAnsi="Times New Roman"/>
          <w:sz w:val="18"/>
          <w:szCs w:val="18"/>
          <w:color w:val="auto"/>
        </w:rPr>
        <w:t>. This Agreement shall be binding as to the executors, administrators, estates, heirs and legal successors and assigns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the respective Parties and may be executed in several counterparts with the same effect as if the parties executing the several counterparts had all executed one counterpart. Signatures to this Agreement provided by email or pdf or similar electronic file, shall be deemed original signatures.</w:t>
      </w:r>
    </w:p>
    <w:p>
      <w:pPr>
        <w:spacing w:after="0" w:line="180" w:lineRule="exact"/>
        <w:rPr>
          <w:sz w:val="20"/>
          <w:szCs w:val="20"/>
          <w:color w:val="auto"/>
        </w:rPr>
      </w:pPr>
    </w:p>
    <w:p>
      <w:pPr>
        <w:jc w:val="both"/>
        <w:ind w:left="440" w:hanging="44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6.10. </w:t>
      </w: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represents the entire agreement between the Parties on the subject matter hereof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supersedes all prior discussions, agreements and understandings of every kind and nature between them. No amendment to this Agreement shall be binding on any of the Parties unless such amendment is in writing and is executed by the Party against whom enforcement of such amendment is sought.</w:t>
      </w:r>
    </w:p>
    <w:p>
      <w:pPr>
        <w:spacing w:after="0" w:line="176" w:lineRule="exact"/>
        <w:rPr>
          <w:sz w:val="20"/>
          <w:szCs w:val="20"/>
          <w:color w:val="auto"/>
        </w:rPr>
      </w:pPr>
    </w:p>
    <w:p>
      <w:pPr>
        <w:jc w:val="both"/>
        <w:ind w:left="440" w:hanging="44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agree to execute such further documents and instruments and to take such further actions as may reasonably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carry out the purpose and intent of this Agreement.</w:t>
      </w:r>
    </w:p>
    <w:p>
      <w:pPr>
        <w:spacing w:after="0" w:line="155" w:lineRule="exact"/>
        <w:rPr>
          <w:sz w:val="20"/>
          <w:szCs w:val="20"/>
          <w:color w:val="auto"/>
        </w:rPr>
      </w:pPr>
    </w:p>
    <w:p>
      <w:pPr>
        <w:jc w:val="both"/>
        <w:ind w:left="440" w:hanging="44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6.12.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Except as otherwise expressly limited herein, the provisions hereof shall inure to the benefit of, and be binding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successors, assigns, heirs, executors, and administrators of the Parties. None of the rights, privileges or obligations set forth in, arising under, or created by this Agreement, may be assigned or transferred by a Party without the prior consent in writing of each Party to this Agreement.</w:t>
      </w:r>
    </w:p>
    <w:p>
      <w:pPr>
        <w:spacing w:after="0" w:line="171" w:lineRule="exact"/>
        <w:rPr>
          <w:sz w:val="20"/>
          <w:szCs w:val="20"/>
          <w:color w:val="auto"/>
        </w:rPr>
      </w:pPr>
    </w:p>
    <w:p>
      <w:pPr>
        <w:jc w:val="both"/>
        <w:ind w:left="440" w:right="20" w:hanging="44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required or permitted hereunder shall be deemed sufficiently made if given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in person, or sent by electronic mail, overnight delivery service or certified or registered mail.</w:t>
      </w:r>
    </w:p>
    <w:p>
      <w:pPr>
        <w:spacing w:after="0" w:line="15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pacing w:after="0" w:line="200" w:lineRule="exact"/>
        <w:rPr>
          <w:sz w:val="20"/>
          <w:szCs w:val="20"/>
          <w:color w:val="auto"/>
        </w:rPr>
      </w:pPr>
    </w:p>
    <w:p>
      <w:pPr>
        <w:spacing w:after="0" w:line="2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on December 29,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228028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PERRYLLION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228028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NANO-X AI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228028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230"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8"/>
          <w:szCs w:val="18"/>
          <w:i w:val="1"/>
          <w:iCs w:val="1"/>
          <w:color w:val="auto"/>
        </w:rPr>
        <w:t>[Signature Page to Settlement Agreement]</w:t>
      </w:r>
    </w:p>
    <w:p>
      <w:pPr>
        <w:spacing w:after="0" w:line="200" w:lineRule="exact"/>
        <w:rPr>
          <w:sz w:val="20"/>
          <w:szCs w:val="20"/>
          <w:color w:val="auto"/>
        </w:rPr>
      </w:pPr>
    </w:p>
    <w:p>
      <w:pPr>
        <w:spacing w:after="0" w:line="2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88" w:name="page189"/>
    <w:bookmarkEnd w:id="18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Escrow Agent Instructions Letter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4.15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PURCHASE AGREEMENT</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FIRST AMENDMENT TO STOCK PURCHASE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and entered as of April 28, 2023,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among </w:t>
      </w:r>
      <w:r>
        <w:rPr>
          <w:rFonts w:ascii="Times New Roman" w:cs="Times New Roman" w:eastAsia="Times New Roman" w:hAnsi="Times New Roman"/>
          <w:sz w:val="18"/>
          <w:szCs w:val="18"/>
          <w:b w:val="1"/>
          <w:bCs w:val="1"/>
          <w:color w:val="auto"/>
        </w:rPr>
        <w:t>DR. MICHAEL YUZ</w:t>
      </w:r>
      <w:r>
        <w:rPr>
          <w:rFonts w:ascii="Times New Roman" w:cs="Times New Roman" w:eastAsia="Times New Roman" w:hAnsi="Times New Roman"/>
          <w:sz w:val="18"/>
          <w:szCs w:val="18"/>
          <w:color w:val="auto"/>
        </w:rPr>
        <w:t xml:space="preserve"> as the Seller Representative, </w:t>
      </w:r>
      <w:r>
        <w:rPr>
          <w:rFonts w:ascii="Times New Roman" w:cs="Times New Roman" w:eastAsia="Times New Roman" w:hAnsi="Times New Roman"/>
          <w:sz w:val="18"/>
          <w:szCs w:val="18"/>
          <w:b w:val="1"/>
          <w:bCs w:val="1"/>
          <w:color w:val="auto"/>
        </w:rPr>
        <w:t>NANO-X IMAGING, INC.,</w:t>
      </w:r>
      <w:r>
        <w:rPr>
          <w:rFonts w:ascii="Times New Roman" w:cs="Times New Roman" w:eastAsia="Times New Roman" w:hAnsi="Times New Roman"/>
          <w:sz w:val="18"/>
          <w:szCs w:val="18"/>
          <w:color w:val="auto"/>
        </w:rPr>
        <w:t xml:space="preserve"> a Delaware corporation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NANO-X IMAGING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LTD.</w:t>
      </w:r>
      <w:r>
        <w:rPr>
          <w:rFonts w:ascii="Times New Roman" w:cs="Times New Roman" w:eastAsia="Times New Roman" w:hAnsi="Times New Roman"/>
          <w:sz w:val="18"/>
          <w:szCs w:val="18"/>
          <w:color w:val="auto"/>
        </w:rPr>
        <w:t>, a company organized under the laws of the state of Israel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 Representative, the Sellers, Buyer, the Company, and Parent have entered into that certain Stock Purchase Agreement dated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October 25, 2021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whereby Sellers agreed to sell and Buyer agreed to purchase all of the Shares. All capitalized terms used herein, except as modified or defined in this Amendment, shall have the meaning given to such terms in the Purchase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 portion of the Purchase Price payable to Sellers is/was to be paid to Sellers in the form of an earn-out, contingent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of certain milestones and the occurrence of certain events, as set forth in the Earn Out Schedule.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agreed on the Earn Out Amount for the First Earn Out Period.</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amend and modify the Purchase Agreement and Earn Out Schedules for the Second Earn Out Period,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 Out Period and the Post-FDA Clearance Earn Out Period (collectively, the “</w:t>
      </w:r>
      <w:r>
        <w:rPr>
          <w:rFonts w:ascii="Times New Roman" w:cs="Times New Roman" w:eastAsia="Times New Roman" w:hAnsi="Times New Roman"/>
          <w:sz w:val="18"/>
          <w:szCs w:val="18"/>
          <w:u w:val="single" w:color="auto"/>
          <w:color w:val="auto"/>
        </w:rPr>
        <w:t>Remaining Earn Out Periods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 and Buyer have agreed to execute this Amendment to amend the Purchase Agreement to reflect the agreed upon modifications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Earn Out Schedules for the Remaining Earn Out Periods.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hereinafter set forth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agree as follows:</w:t>
      </w:r>
    </w:p>
    <w:p>
      <w:pPr>
        <w:spacing w:after="0" w:line="159" w:lineRule="exact"/>
        <w:rPr>
          <w:sz w:val="20"/>
          <w:szCs w:val="20"/>
          <w:color w:val="auto"/>
        </w:rPr>
      </w:pPr>
    </w:p>
    <w:p>
      <w:pPr>
        <w:ind w:left="840" w:hanging="184"/>
        <w:spacing w:after="0"/>
        <w:tabs>
          <w:tab w:leader="none" w:pos="8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 The foregoing recitals are true and correct and are hereby incorporated by this reference.</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Earn Out Period</w:t>
      </w:r>
      <w:r>
        <w:rPr>
          <w:rFonts w:ascii="Times New Roman" w:cs="Times New Roman" w:eastAsia="Times New Roman" w:hAnsi="Times New Roman"/>
          <w:sz w:val="18"/>
          <w:szCs w:val="18"/>
          <w:color w:val="auto"/>
        </w:rPr>
        <w:t>. The parties agree that for the First Earn Out Period, Buyer will pay to the Sellers $290,062.82 in cash payment and shall issue to the Sellers an aggregate of 45,392 shares of Parent Stock, reflecting an Earn Out Stock Value of $20.768. The foregoing cash payment and shares of Parent Stock shall be allocated among the Sellers as set forth in the Allocation Schedule.</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The parties hereby agree that all rights and obligations in the Purchase Agreement and in </w:t>
      </w:r>
      <w:r>
        <w:rPr>
          <w:rFonts w:ascii="Times New Roman" w:cs="Times New Roman" w:eastAsia="Times New Roman" w:hAnsi="Times New Roman"/>
          <w:sz w:val="18"/>
          <w:szCs w:val="18"/>
          <w:u w:val="single" w:color="auto"/>
          <w:color w:val="auto"/>
        </w:rPr>
        <w:t>Schedule 2.6.1</w:t>
      </w:r>
      <w:r>
        <w:rPr>
          <w:rFonts w:ascii="Times New Roman" w:cs="Times New Roman" w:eastAsia="Times New Roman" w:hAnsi="Times New Roman"/>
          <w:sz w:val="18"/>
          <w:szCs w:val="18"/>
          <w:color w:val="auto"/>
        </w:rPr>
        <w:t xml:space="preserve"> of the Purchase Agreement regarding the Remaining Earn Out Periods are hereby deleted in their entirety and replaced with the following:</w:t>
      </w:r>
    </w:p>
    <w:p>
      <w:pPr>
        <w:spacing w:after="0" w:line="162"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For the Remaining Earn Out Periods, Buyer will pay to the Sellers $500,000 in cash payment of immediately available funds, and shall issue to the Sellers an aggregate of 210,00 shares of Parent Stock. The foregoing cash payment and shares of Parent Stock shall be allocated among the Sellers as set forth in the Allocation Schedule. Buyer shall make the foregoing cash payment by April 30, 2023 and shall use commercially reasonable efforts to have the Escrow Agent issue the foregoing shares of Parent Stock by about April 30,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color w:val="auto"/>
        </w:rPr>
        <w:t xml:space="preserve">Further, Section 2.6 of the Purchase Agreement and </w:t>
      </w:r>
      <w:r>
        <w:rPr>
          <w:rFonts w:ascii="Times New Roman" w:cs="Times New Roman" w:eastAsia="Times New Roman" w:hAnsi="Times New Roman"/>
          <w:sz w:val="18"/>
          <w:szCs w:val="18"/>
          <w:u w:val="single" w:color="auto"/>
          <w:color w:val="auto"/>
        </w:rPr>
        <w:t>Schedule 2.6.1</w:t>
      </w:r>
      <w:r>
        <w:rPr>
          <w:rFonts w:ascii="Times New Roman" w:cs="Times New Roman" w:eastAsia="Times New Roman" w:hAnsi="Times New Roman"/>
          <w:sz w:val="18"/>
          <w:szCs w:val="18"/>
          <w:color w:val="auto"/>
        </w:rPr>
        <w:t xml:space="preserve"> of the Purchase Agreement are hereby amended accordingly.</w:t>
      </w:r>
    </w:p>
    <w:p>
      <w:pPr>
        <w:spacing w:after="0" w:line="225" w:lineRule="exact"/>
        <w:rPr>
          <w:sz w:val="20"/>
          <w:szCs w:val="20"/>
          <w:color w:val="auto"/>
        </w:rPr>
      </w:pPr>
    </w:p>
    <w:p>
      <w:pPr>
        <w:jc w:val="both"/>
        <w:ind w:firstLine="656"/>
        <w:spacing w:after="0" w:line="258" w:lineRule="auto"/>
        <w:tabs>
          <w:tab w:leader="none" w:pos="84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and Waiver</w:t>
      </w:r>
      <w:r>
        <w:rPr>
          <w:rFonts w:ascii="Times New Roman" w:cs="Times New Roman" w:eastAsia="Times New Roman" w:hAnsi="Times New Roman"/>
          <w:sz w:val="18"/>
          <w:szCs w:val="18"/>
          <w:color w:val="auto"/>
        </w:rPr>
        <w:t>. Payment pursuant to Sections 2 and 3 of this Amendment is in full satisfaction of all of Buyer’s obligations and all of Sellers’ rights regarding the Purchase Price and including the Earn Out and under Section 2.6 of the Purchase Agreement. Upon and subject to the full payment pursuant to Sections 2 and 3 of this Amendment, each of the Releasing Parties fully, finally and irrevocably releases, acquits and forever discharges the Buyer and its, Affiliates, successors and assigns, and the beneficiaries, heirs, executors, or Representatives, from any and all Potential Claims and Liabilities relating to the Purchase Price and including the Earn Out, including the allocation of the Earn Out among the Sellers.</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8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this Amendment</w:t>
      </w:r>
      <w:r>
        <w:rPr>
          <w:rFonts w:ascii="Times New Roman" w:cs="Times New Roman" w:eastAsia="Times New Roman" w:hAnsi="Times New Roman"/>
          <w:sz w:val="18"/>
          <w:szCs w:val="18"/>
          <w:color w:val="auto"/>
        </w:rPr>
        <w:t>. Except as modified herein, the terms, conditions, representations, warranties and covenants of the Purchase Agreement shall remain unchanged and otherwise in full force and effect. In the event of an inconsistency between the terms of this Amendment and the terms of the Purchase Agreement, the terms hereof shall control. No person, other than the parties hereto and their successors and assigns permitted pursuant to the Purchase Agreement, shall have any rights under this Amendment.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82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Modification; Waiver</w:t>
      </w:r>
      <w:r>
        <w:rPr>
          <w:rFonts w:ascii="Times New Roman" w:cs="Times New Roman" w:eastAsia="Times New Roman" w:hAnsi="Times New Roman"/>
          <w:sz w:val="18"/>
          <w:szCs w:val="18"/>
          <w:color w:val="auto"/>
        </w:rPr>
        <w:t>. This Amendment may only be amended, modified or supplemented by an agreement in writing signed by each party hereto.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Amendment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one or more counterparts, including facsimile or electronic signatures, each of which shall be deemed to be an original but all of which shall constitute one and the same agreement.</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Section 11 of the Purchase Agreement (Miscellaneous) is hereby incorporated as if fully set forth herein.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The remainder of this page is intentionally blank. Signatures follow.</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hereto have caused this Amendment to be duly executed, sealed and delivered the day and year first above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BUYER:</w:t>
            </w:r>
          </w:p>
        </w:tc>
        <w:tc>
          <w:tcPr>
            <w:tcW w:w="642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NANO-X IMAGING, INC.</w:t>
            </w:r>
          </w:p>
        </w:tc>
      </w:tr>
      <w:tr>
        <w:trPr>
          <w:trHeight w:val="439"/>
        </w:trPr>
        <w:tc>
          <w:tcPr>
            <w:tcW w:w="4820" w:type="dxa"/>
            <w:vAlign w:val="bottom"/>
          </w:tcPr>
          <w:p>
            <w:pPr>
              <w:spacing w:after="0"/>
              <w:rPr>
                <w:sz w:val="24"/>
                <w:szCs w:val="24"/>
                <w:color w:val="auto"/>
              </w:rPr>
            </w:pPr>
          </w:p>
        </w:tc>
        <w:tc>
          <w:tcPr>
            <w:tcW w:w="642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48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820" w:type="dxa"/>
            <w:vAlign w:val="bottom"/>
          </w:tcPr>
          <w:p>
            <w:pPr>
              <w:spacing w:after="0"/>
              <w:rPr>
                <w:sz w:val="20"/>
                <w:szCs w:val="20"/>
                <w:color w:val="auto"/>
              </w:rPr>
            </w:pPr>
          </w:p>
        </w:tc>
        <w:tc>
          <w:tcPr>
            <w:tcW w:w="642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PARENT:</w:t>
            </w:r>
          </w:p>
        </w:tc>
        <w:tc>
          <w:tcPr>
            <w:tcW w:w="642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NANO-X IMAGING LTD.</w:t>
            </w:r>
          </w:p>
        </w:tc>
      </w:tr>
      <w:tr>
        <w:trPr>
          <w:trHeight w:val="439"/>
        </w:trPr>
        <w:tc>
          <w:tcPr>
            <w:tcW w:w="4820" w:type="dxa"/>
            <w:vAlign w:val="bottom"/>
          </w:tcPr>
          <w:p>
            <w:pPr>
              <w:spacing w:after="0"/>
              <w:rPr>
                <w:sz w:val="24"/>
                <w:szCs w:val="24"/>
                <w:color w:val="auto"/>
              </w:rPr>
            </w:pPr>
          </w:p>
        </w:tc>
        <w:tc>
          <w:tcPr>
            <w:tcW w:w="642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48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820" w:type="dxa"/>
            <w:vAlign w:val="bottom"/>
          </w:tcPr>
          <w:p>
            <w:pPr>
              <w:spacing w:after="0"/>
              <w:rPr>
                <w:sz w:val="20"/>
                <w:szCs w:val="20"/>
                <w:color w:val="auto"/>
              </w:rPr>
            </w:pPr>
          </w:p>
        </w:tc>
        <w:tc>
          <w:tcPr>
            <w:tcW w:w="642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SELLER REPRESENTATIVE:</w:t>
            </w:r>
          </w:p>
        </w:tc>
        <w:tc>
          <w:tcPr>
            <w:tcW w:w="642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DR. MICHAEL YUZ</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265430</wp:posOffset>
            </wp:positionV>
            <wp:extent cx="284607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w w:val="97"/>
              </w:rPr>
              <w:t>Exhibit 8.1</w:t>
            </w:r>
          </w:p>
        </w:tc>
      </w:tr>
      <w:tr>
        <w:trPr>
          <w:trHeight w:val="43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3600" w:type="dxa"/>
            <w:vAlign w:val="bottom"/>
          </w:tcPr>
          <w:p>
            <w:pPr>
              <w:spacing w:after="0"/>
              <w:rPr>
                <w:sz w:val="24"/>
                <w:szCs w:val="24"/>
                <w:color w:val="auto"/>
              </w:rPr>
            </w:pPr>
          </w:p>
        </w:tc>
      </w:tr>
      <w:tr>
        <w:trPr>
          <w:trHeight w:val="46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Company</w:t>
            </w:r>
          </w:p>
        </w:tc>
      </w:tr>
      <w:tr>
        <w:trPr>
          <w:trHeight w:val="216"/>
        </w:trPr>
        <w:tc>
          <w:tcPr>
            <w:tcW w:w="3620" w:type="dxa"/>
            <w:vAlign w:val="bottom"/>
            <w:tcBorders>
              <w:top w:val="single" w:sz="8" w:color="auto"/>
            </w:tcBorders>
            <w:shd w:val="clear" w:color="auto" w:fill="CDEEFF"/>
          </w:tcPr>
          <w:p>
            <w:pPr>
              <w:spacing w:after="0"/>
              <w:rPr>
                <w:sz w:val="20"/>
                <w:szCs w:val="20"/>
                <w:color w:val="auto"/>
              </w:rPr>
            </w:pPr>
            <w:r>
              <w:rPr>
                <w:rFonts w:ascii="Times New Roman" w:cs="Times New Roman" w:eastAsia="Times New Roman" w:hAnsi="Times New Roman"/>
                <w:sz w:val="18"/>
                <w:szCs w:val="18"/>
                <w:color w:val="auto"/>
              </w:rPr>
              <w:t>NANO-X AI LTD</w:t>
            </w:r>
          </w:p>
        </w:tc>
        <w:tc>
          <w:tcPr>
            <w:tcW w:w="220" w:type="dxa"/>
            <w:vAlign w:val="bottom"/>
            <w:tcBorders>
              <w:top w:val="single" w:sz="8" w:color="CDEEFF"/>
            </w:tcBorders>
            <w:shd w:val="clear" w:color="auto" w:fill="CDEEFF"/>
          </w:tcPr>
          <w:p>
            <w:pPr>
              <w:spacing w:after="0"/>
              <w:rPr>
                <w:sz w:val="18"/>
                <w:szCs w:val="18"/>
                <w:color w:val="auto"/>
              </w:rPr>
            </w:pPr>
          </w:p>
        </w:tc>
        <w:tc>
          <w:tcPr>
            <w:tcW w:w="3600" w:type="dxa"/>
            <w:vAlign w:val="bottom"/>
            <w:tcBorders>
              <w:top w:val="single" w:sz="8" w:color="auto"/>
            </w:tcBorders>
            <w:shd w:val="clear" w:color="auto" w:fill="CDEEFF"/>
          </w:tcPr>
          <w:p>
            <w:pPr>
              <w:jc w:val="center"/>
              <w:spacing w:after="0"/>
              <w:rPr>
                <w:sz w:val="20"/>
                <w:szCs w:val="20"/>
                <w:color w:val="auto"/>
              </w:rPr>
            </w:pPr>
            <w:r>
              <w:rPr>
                <w:rFonts w:ascii="Times New Roman" w:cs="Times New Roman" w:eastAsia="Times New Roman" w:hAnsi="Times New Roman"/>
                <w:sz w:val="18"/>
                <w:szCs w:val="18"/>
                <w:color w:val="auto"/>
              </w:rPr>
              <w:t>ISRAEL</w:t>
            </w:r>
          </w:p>
        </w:tc>
        <w:tc>
          <w:tcPr>
            <w:tcW w:w="200" w:type="dxa"/>
            <w:vAlign w:val="bottom"/>
            <w:tcBorders>
              <w:top w:val="single" w:sz="8" w:color="CDEEFF"/>
            </w:tcBorders>
            <w:shd w:val="clear" w:color="auto" w:fill="CDEEFF"/>
          </w:tcPr>
          <w:p>
            <w:pPr>
              <w:spacing w:after="0"/>
              <w:rPr>
                <w:sz w:val="18"/>
                <w:szCs w:val="18"/>
                <w:color w:val="auto"/>
              </w:rPr>
            </w:pPr>
          </w:p>
        </w:tc>
        <w:tc>
          <w:tcPr>
            <w:tcW w:w="3600" w:type="dxa"/>
            <w:vAlign w:val="bottom"/>
            <w:tcBorders>
              <w:top w:val="single" w:sz="8" w:color="auto"/>
            </w:tcBorders>
            <w:shd w:val="clear" w:color="auto" w:fill="CDEEFF"/>
          </w:tcPr>
          <w:p>
            <w:pPr>
              <w:jc w:val="center"/>
              <w:spacing w:after="0"/>
              <w:rPr>
                <w:sz w:val="20"/>
                <w:szCs w:val="20"/>
                <w:color w:val="auto"/>
              </w:rPr>
            </w:pPr>
            <w:r>
              <w:rPr>
                <w:rFonts w:ascii="Times New Roman" w:cs="Times New Roman" w:eastAsia="Times New Roman" w:hAnsi="Times New Roman"/>
                <w:sz w:val="18"/>
                <w:szCs w:val="18"/>
                <w:color w:val="auto"/>
                <w:w w:val="99"/>
              </w:rPr>
              <w:t>NANO-X IMAGING LTD</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NANO-X KOREA INC</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KOREA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NANO-X IMAGING LTD</w:t>
            </w:r>
          </w:p>
        </w:tc>
      </w:tr>
      <w:tr>
        <w:trPr>
          <w:trHeight w:val="216"/>
        </w:trPr>
        <w:tc>
          <w:tcPr>
            <w:tcW w:w="3840" w:type="dxa"/>
            <w:vAlign w:val="bottom"/>
            <w:gridSpan w:val="2"/>
            <w:shd w:val="clear" w:color="auto" w:fill="CDEEFF"/>
          </w:tcPr>
          <w:p>
            <w:pPr>
              <w:spacing w:after="0"/>
              <w:rPr>
                <w:sz w:val="20"/>
                <w:szCs w:val="20"/>
                <w:color w:val="auto"/>
              </w:rPr>
            </w:pPr>
            <w:r>
              <w:rPr>
                <w:rFonts w:ascii="Times New Roman" w:cs="Times New Roman" w:eastAsia="Times New Roman" w:hAnsi="Times New Roman"/>
                <w:sz w:val="18"/>
                <w:szCs w:val="18"/>
                <w:color w:val="auto"/>
              </w:rPr>
              <w:t>NANO-X IMAGING INC</w:t>
            </w:r>
          </w:p>
        </w:tc>
        <w:tc>
          <w:tcPr>
            <w:tcW w:w="3800" w:type="dxa"/>
            <w:vAlign w:val="bottom"/>
            <w:gridSpan w:val="2"/>
            <w:shd w:val="clear" w:color="auto" w:fill="CDEEFF"/>
          </w:tcPr>
          <w:p>
            <w:pPr>
              <w:jc w:val="center"/>
              <w:ind w:right="200"/>
              <w:spacing w:after="0"/>
              <w:rPr>
                <w:sz w:val="20"/>
                <w:szCs w:val="20"/>
                <w:color w:val="auto"/>
              </w:rPr>
            </w:pPr>
            <w:r>
              <w:rPr>
                <w:rFonts w:ascii="Times New Roman" w:cs="Times New Roman" w:eastAsia="Times New Roman" w:hAnsi="Times New Roman"/>
                <w:sz w:val="18"/>
                <w:szCs w:val="18"/>
                <w:color w:val="auto"/>
                <w:w w:val="95"/>
              </w:rPr>
              <w:t>DELAWARE</w:t>
            </w:r>
          </w:p>
        </w:tc>
        <w:tc>
          <w:tcPr>
            <w:tcW w:w="3600" w:type="dxa"/>
            <w:vAlign w:val="bottom"/>
            <w:shd w:val="clear" w:color="auto" w:fill="CDEEFF"/>
          </w:tcPr>
          <w:p>
            <w:pPr>
              <w:jc w:val="center"/>
              <w:spacing w:after="0"/>
              <w:rPr>
                <w:sz w:val="20"/>
                <w:szCs w:val="20"/>
                <w:color w:val="auto"/>
              </w:rPr>
            </w:pPr>
            <w:r>
              <w:rPr>
                <w:rFonts w:ascii="Times New Roman" w:cs="Times New Roman" w:eastAsia="Times New Roman" w:hAnsi="Times New Roman"/>
                <w:sz w:val="18"/>
                <w:szCs w:val="18"/>
                <w:color w:val="auto"/>
                <w:w w:val="99"/>
              </w:rPr>
              <w:t>NANO-X IMAGING LTD</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NANO-X IMAGING INC</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JAPAN</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NANO-X IMAGING LTD</w:t>
            </w:r>
          </w:p>
        </w:tc>
      </w:tr>
      <w:tr>
        <w:trPr>
          <w:trHeight w:val="216"/>
        </w:trPr>
        <w:tc>
          <w:tcPr>
            <w:tcW w:w="3840" w:type="dxa"/>
            <w:vAlign w:val="bottom"/>
            <w:gridSpan w:val="2"/>
            <w:shd w:val="clear" w:color="auto" w:fill="CDEEFF"/>
          </w:tcPr>
          <w:p>
            <w:pPr>
              <w:spacing w:after="0"/>
              <w:rPr>
                <w:sz w:val="20"/>
                <w:szCs w:val="20"/>
                <w:color w:val="auto"/>
              </w:rPr>
            </w:pPr>
            <w:r>
              <w:rPr>
                <w:rFonts w:ascii="Times New Roman" w:cs="Times New Roman" w:eastAsia="Times New Roman" w:hAnsi="Times New Roman"/>
                <w:sz w:val="18"/>
                <w:szCs w:val="18"/>
                <w:color w:val="auto"/>
              </w:rPr>
              <w:t>USARAD HOLDING INC</w:t>
            </w:r>
          </w:p>
        </w:tc>
        <w:tc>
          <w:tcPr>
            <w:tcW w:w="3800" w:type="dxa"/>
            <w:vAlign w:val="bottom"/>
            <w:gridSpan w:val="2"/>
            <w:shd w:val="clear" w:color="auto" w:fill="CDEEFF"/>
          </w:tcPr>
          <w:p>
            <w:pPr>
              <w:jc w:val="center"/>
              <w:ind w:right="200"/>
              <w:spacing w:after="0"/>
              <w:rPr>
                <w:sz w:val="20"/>
                <w:szCs w:val="20"/>
                <w:color w:val="auto"/>
              </w:rPr>
            </w:pPr>
            <w:r>
              <w:rPr>
                <w:rFonts w:ascii="Times New Roman" w:cs="Times New Roman" w:eastAsia="Times New Roman" w:hAnsi="Times New Roman"/>
                <w:sz w:val="18"/>
                <w:szCs w:val="18"/>
                <w:color w:val="auto"/>
                <w:w w:val="95"/>
              </w:rPr>
              <w:t>DELAWARE</w:t>
            </w:r>
          </w:p>
        </w:tc>
        <w:tc>
          <w:tcPr>
            <w:tcW w:w="3600" w:type="dxa"/>
            <w:vAlign w:val="bottom"/>
            <w:shd w:val="clear" w:color="auto" w:fill="CDEEFF"/>
          </w:tcPr>
          <w:p>
            <w:pPr>
              <w:jc w:val="center"/>
              <w:spacing w:after="0"/>
              <w:rPr>
                <w:sz w:val="20"/>
                <w:szCs w:val="20"/>
                <w:color w:val="auto"/>
              </w:rPr>
            </w:pPr>
            <w:r>
              <w:rPr>
                <w:rFonts w:ascii="Times New Roman" w:cs="Times New Roman" w:eastAsia="Times New Roman" w:hAnsi="Times New Roman"/>
                <w:sz w:val="18"/>
                <w:szCs w:val="18"/>
                <w:color w:val="auto"/>
                <w:w w:val="99"/>
              </w:rPr>
              <w:t>NANO-X IMAGING INC</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NANOX RAD INC</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USARAD HOLDING INC</w:t>
            </w:r>
          </w:p>
        </w:tc>
      </w:tr>
      <w:tr>
        <w:trPr>
          <w:trHeight w:val="216"/>
        </w:trPr>
        <w:tc>
          <w:tcPr>
            <w:tcW w:w="3840" w:type="dxa"/>
            <w:vAlign w:val="bottom"/>
            <w:gridSpan w:val="2"/>
            <w:shd w:val="clear" w:color="auto" w:fill="CDEEFF"/>
          </w:tcPr>
          <w:p>
            <w:pPr>
              <w:spacing w:after="0"/>
              <w:rPr>
                <w:sz w:val="20"/>
                <w:szCs w:val="20"/>
                <w:color w:val="auto"/>
              </w:rPr>
            </w:pPr>
            <w:r>
              <w:rPr>
                <w:rFonts w:ascii="Times New Roman" w:cs="Times New Roman" w:eastAsia="Times New Roman" w:hAnsi="Times New Roman"/>
                <w:sz w:val="18"/>
                <w:szCs w:val="18"/>
                <w:color w:val="auto"/>
              </w:rPr>
              <w:t>NANOX MDW INC</w:t>
            </w:r>
          </w:p>
        </w:tc>
        <w:tc>
          <w:tcPr>
            <w:tcW w:w="3800" w:type="dxa"/>
            <w:vAlign w:val="bottom"/>
            <w:gridSpan w:val="2"/>
            <w:shd w:val="clear" w:color="auto" w:fill="CDEEFF"/>
          </w:tcPr>
          <w:p>
            <w:pPr>
              <w:jc w:val="center"/>
              <w:ind w:right="200"/>
              <w:spacing w:after="0"/>
              <w:rPr>
                <w:sz w:val="20"/>
                <w:szCs w:val="20"/>
                <w:color w:val="auto"/>
              </w:rPr>
            </w:pPr>
            <w:r>
              <w:rPr>
                <w:rFonts w:ascii="Times New Roman" w:cs="Times New Roman" w:eastAsia="Times New Roman" w:hAnsi="Times New Roman"/>
                <w:sz w:val="18"/>
                <w:szCs w:val="18"/>
                <w:color w:val="auto"/>
                <w:w w:val="95"/>
              </w:rPr>
              <w:t>DELAWARE</w:t>
            </w:r>
          </w:p>
        </w:tc>
        <w:tc>
          <w:tcPr>
            <w:tcW w:w="3600" w:type="dxa"/>
            <w:vAlign w:val="bottom"/>
            <w:shd w:val="clear" w:color="auto" w:fill="CDEEFF"/>
          </w:tcPr>
          <w:p>
            <w:pPr>
              <w:jc w:val="center"/>
              <w:spacing w:after="0"/>
              <w:rPr>
                <w:sz w:val="20"/>
                <w:szCs w:val="20"/>
                <w:color w:val="auto"/>
              </w:rPr>
            </w:pPr>
            <w:r>
              <w:rPr>
                <w:rFonts w:ascii="Times New Roman" w:cs="Times New Roman" w:eastAsia="Times New Roman" w:hAnsi="Times New Roman"/>
                <w:sz w:val="18"/>
                <w:szCs w:val="18"/>
                <w:color w:val="auto"/>
                <w:w w:val="99"/>
              </w:rPr>
              <w:t>NANO-X IMAGING INC</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NANOX AI INC</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NANO-X AI LTD</w:t>
            </w:r>
          </w:p>
        </w:tc>
      </w:tr>
      <w:tr>
        <w:trPr>
          <w:trHeight w:val="216"/>
        </w:trPr>
        <w:tc>
          <w:tcPr>
            <w:tcW w:w="3840" w:type="dxa"/>
            <w:vAlign w:val="bottom"/>
            <w:gridSpan w:val="2"/>
            <w:shd w:val="clear" w:color="auto" w:fill="CDEEFF"/>
          </w:tcPr>
          <w:p>
            <w:pPr>
              <w:spacing w:after="0"/>
              <w:rPr>
                <w:sz w:val="20"/>
                <w:szCs w:val="20"/>
                <w:color w:val="auto"/>
              </w:rPr>
            </w:pPr>
            <w:r>
              <w:rPr>
                <w:rFonts w:ascii="Times New Roman" w:cs="Times New Roman" w:eastAsia="Times New Roman" w:hAnsi="Times New Roman"/>
                <w:sz w:val="18"/>
                <w:szCs w:val="18"/>
                <w:color w:val="auto"/>
              </w:rPr>
              <w:t>XMRI.COM PLLC.</w:t>
            </w:r>
          </w:p>
        </w:tc>
        <w:tc>
          <w:tcPr>
            <w:tcW w:w="3800" w:type="dxa"/>
            <w:vAlign w:val="bottom"/>
            <w:gridSpan w:val="2"/>
            <w:shd w:val="clear" w:color="auto" w:fill="CD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FLORIDA</w:t>
            </w:r>
          </w:p>
        </w:tc>
        <w:tc>
          <w:tcPr>
            <w:tcW w:w="3600" w:type="dxa"/>
            <w:vAlign w:val="bottom"/>
            <w:shd w:val="clear" w:color="auto" w:fill="CDEEFF"/>
          </w:tcPr>
          <w:p>
            <w:pPr>
              <w:jc w:val="center"/>
              <w:spacing w:after="0"/>
              <w:rPr>
                <w:sz w:val="20"/>
                <w:szCs w:val="20"/>
                <w:color w:val="auto"/>
              </w:rPr>
            </w:pPr>
            <w:r>
              <w:rPr>
                <w:rFonts w:ascii="Times New Roman" w:cs="Times New Roman" w:eastAsia="Times New Roman" w:hAnsi="Times New Roman"/>
                <w:sz w:val="18"/>
                <w:szCs w:val="18"/>
                <w:color w:val="auto"/>
                <w:w w:val="99"/>
              </w:rPr>
              <w:t>USARAD HOLDING INC</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HLB PUERTO RICO LLC</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PUERTO RICO</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USARAD HOLDING INC</w:t>
            </w:r>
          </w:p>
        </w:tc>
      </w:tr>
    </w:tbl>
    <w:p>
      <w:pPr>
        <w:sectPr>
          <w:pgSz w:w="11900" w:h="16838" w:orient="portrait"/>
          <w:cols w:equalWidth="0" w:num="1">
            <w:col w:w="11240"/>
          </w:cols>
          <w:pgMar w:left="320" w:top="117"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22"/>
          <w:szCs w:val="22"/>
          <w:b w:val="1"/>
          <w:bCs w:val="1"/>
          <w:color w:val="auto"/>
        </w:rPr>
        <w:t>Exhibit 12.1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Erez Meltzer, certify that:</w:t>
      </w:r>
    </w:p>
    <w:p>
      <w:pPr>
        <w:spacing w:after="0" w:line="225" w:lineRule="exact"/>
        <w:rPr>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Nano-X Imaging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340" w:right="20" w:hanging="332"/>
        <w:spacing w:after="0" w:line="282"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involved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Erez 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Erez Meltzer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8"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Ran Daniel, certify that:</w:t>
      </w:r>
    </w:p>
    <w:p>
      <w:pPr>
        <w:spacing w:after="0" w:line="225" w:lineRule="exact"/>
        <w:rPr>
          <w:sz w:val="20"/>
          <w:szCs w:val="20"/>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Nano-X Imaging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340" w:right="20" w:hanging="332"/>
        <w:spacing w:after="0" w:line="282" w:lineRule="auto"/>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involved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Ran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 Daniel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2"/>
          <w:szCs w:val="22"/>
          <w:b w:val="1"/>
          <w:bCs w:val="1"/>
          <w:color w:val="auto"/>
        </w:rPr>
        <w:t>Exhibit 13.1</w:t>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on Form 20-F of Nano-X Imaging Ltd. (the “Company”) for the twelve-months ended December 31, 2022, as filed with the Securities and Exchange Commission on the date hereof (the “Report”), Ran Daniel, Chief Financial Officer of the Company, hereby certifies, pursuant to 18 U.S.C. §1350, as adopted pursuant to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60" w:firstLine="8"/>
        <w:spacing w:after="0" w:line="500" w:lineRule="auto"/>
        <w:tabs>
          <w:tab w:leader="none" w:pos="3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May 1, 2023</w:t>
      </w:r>
    </w:p>
    <w:p>
      <w:pPr>
        <w:spacing w:after="0" w:line="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Erez 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Erez Meltzer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8"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22"/>
          <w:szCs w:val="22"/>
          <w:b w:val="1"/>
          <w:bCs w:val="1"/>
          <w:color w:val="auto"/>
        </w:rPr>
        <w:t>Exhibit 13.2</w:t>
      </w:r>
    </w:p>
    <w:p>
      <w:pPr>
        <w:spacing w:after="0" w:line="24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on Form 20-F of Nano-X Imaging Ltd. (the “Company”) for the twelve-months ended December 31, 2022, as filed with the Securities and Exchange Commission on the date hereof (the “Report”), Ran Daniel, Chief Financial Officer of the Company, hereby certifies, pursuant to 18 U.S.C. §1350, as adopted pursuant to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60" w:firstLine="8"/>
        <w:spacing w:after="0" w:line="500" w:lineRule="auto"/>
        <w:tabs>
          <w:tab w:leader="none" w:pos="3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May 1, 2023</w:t>
      </w:r>
    </w:p>
    <w:p>
      <w:pPr>
        <w:spacing w:after="0" w:line="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Ran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Ran Daniel</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8"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333-248322) of Nano-X Imaging Ltd. of our report dated May 1, 2023 relating to the financial statements and the effectiveness of internal control over financial reporting, which appears in this Form 20-F.</w:t>
      </w:r>
    </w:p>
    <w:p>
      <w:pPr>
        <w:sectPr>
          <w:pgSz w:w="11900" w:h="16838" w:orient="portrait"/>
          <w:cols w:equalWidth="0" w:num="1">
            <w:col w:w="11240"/>
          </w:cols>
          <w:pgMar w:left="320" w:top="117"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Tel-Aviv, Israel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Kesselman &amp; Kesselman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PricewaterhouseCoopers International Limited</w:t>
      </w:r>
    </w:p>
    <w:sectPr>
      <w:pgSz w:w="11900" w:h="16838" w:orient="portrait"/>
      <w:cols w:equalWidth="0" w:num="2">
        <w:col w:w="2320" w:space="720"/>
        <w:col w:w="820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1."/>
      <w:numFmt w:val="upperLetter"/>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1)"/>
      <w:numFmt w:val="decimal"/>
      <w:start w:val="5"/>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1."/>
      <w:numFmt w:val="upperLetter"/>
      <w:start w:val="1"/>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
      <w:numFmt w:val="bullet"/>
      <w:start w:val="1"/>
    </w:lvl>
  </w:abstractNum>
  <w:abstractNum w:abstractNumId="40">
    <w:nsid w:val="885E1B"/>
    <w:multiLevelType w:val="hybridMultilevel"/>
    <w:lvl w:ilvl="0">
      <w:lvlJc w:val="left"/>
      <w:lvlText w:val="●"/>
      <w:numFmt w:val="bullet"/>
      <w:start w:val="1"/>
    </w:lvl>
  </w:abstractNum>
  <w:abstractNum w:abstractNumId="41">
    <w:nsid w:val="76272110"/>
    <w:multiLevelType w:val="hybridMultilevel"/>
    <w:lvl w:ilvl="0">
      <w:lvlJc w:val="left"/>
      <w:lvlText w:val="●"/>
      <w:numFmt w:val="bullet"/>
      <w:start w:val="1"/>
    </w:lvl>
  </w:abstractNum>
  <w:abstractNum w:abstractNumId="42">
    <w:nsid w:val="4C04A8AF"/>
    <w:multiLevelType w:val="hybridMultilevel"/>
    <w:lvl w:ilvl="0">
      <w:lvlJc w:val="left"/>
      <w:lvlText w:val="●"/>
      <w:numFmt w:val="bullet"/>
      <w:start w:val="1"/>
    </w:lvl>
  </w:abstractNum>
  <w:abstractNum w:abstractNumId="43">
    <w:nsid w:val="1716703B"/>
    <w:multiLevelType w:val="hybridMultilevel"/>
    <w:lvl w:ilvl="0">
      <w:lvlJc w:val="left"/>
      <w:lvlText w:val="●"/>
      <w:numFmt w:val="bullet"/>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1)"/>
      <w:numFmt w:val="lowerLetter"/>
      <w:start w:val="1"/>
    </w:lvl>
  </w:abstractNum>
  <w:abstractNum w:abstractNumId="48">
    <w:nsid w:val="2DF6D648"/>
    <w:multiLevelType w:val="hybridMultilevel"/>
    <w:lvl w:ilvl="0">
      <w:lvlJc w:val="left"/>
      <w:lvlText w:val="(%1)"/>
      <w:numFmt w:val="decimal"/>
      <w:start w:val="1"/>
    </w:lvl>
  </w:abstractNum>
  <w:abstractNum w:abstractNumId="49">
    <w:nsid w:val="46B7D447"/>
    <w:multiLevelType w:val="hybridMultilevel"/>
    <w:lvl w:ilvl="0">
      <w:lvlJc w:val="left"/>
      <w:lvlText w:val="●"/>
      <w:numFmt w:val="bullet"/>
      <w:start w:val="1"/>
    </w:lvl>
  </w:abstractNum>
  <w:abstractNum w:abstractNumId="50">
    <w:nsid w:val="4A2AC315"/>
    <w:multiLevelType w:val="hybridMultilevel"/>
    <w:lvl w:ilvl="0">
      <w:lvlJc w:val="left"/>
      <w:lvlText w:val="●"/>
      <w:numFmt w:val="bullet"/>
      <w:start w:val="1"/>
    </w:lvl>
  </w:abstractNum>
  <w:abstractNum w:abstractNumId="51">
    <w:nsid w:val="39EE015C"/>
    <w:multiLevelType w:val="hybridMultilevel"/>
    <w:lvl w:ilvl="0">
      <w:lvlJc w:val="left"/>
      <w:lvlText w:val="●"/>
      <w:numFmt w:val="bullet"/>
      <w:start w:val="1"/>
    </w:lvl>
  </w:abstractNum>
  <w:abstractNum w:abstractNumId="52">
    <w:nsid w:val="57FC4FBB"/>
    <w:multiLevelType w:val="hybridMultilevel"/>
    <w:lvl w:ilvl="0">
      <w:lvlJc w:val="left"/>
      <w:lvlText w:val="●"/>
      <w:numFmt w:val="bullet"/>
      <w:start w:val="1"/>
    </w:lvl>
  </w:abstractNum>
  <w:abstractNum w:abstractNumId="53">
    <w:nsid w:val="CC1016F"/>
    <w:multiLevelType w:val="hybridMultilevel"/>
    <w:lvl w:ilvl="0">
      <w:lvlJc w:val="left"/>
      <w:lvlText w:val="●"/>
      <w:numFmt w:val="bullet"/>
      <w:start w:val="1"/>
    </w:lvl>
  </w:abstractNum>
  <w:abstractNum w:abstractNumId="54">
    <w:nsid w:val="43F18422"/>
    <w:multiLevelType w:val="hybridMultilevel"/>
    <w:lvl w:ilvl="0">
      <w:lvlJc w:val="left"/>
      <w:lvlText w:val="(%1)"/>
      <w:numFmt w:val="lowerRoman"/>
      <w:start w:val="3"/>
    </w:lvl>
  </w:abstractNum>
  <w:abstractNum w:abstractNumId="55">
    <w:nsid w:val="60EF0119"/>
    <w:multiLevelType w:val="hybridMultilevel"/>
    <w:lvl w:ilvl="0">
      <w:lvlJc w:val="left"/>
      <w:lvlText w:val="(%1)"/>
      <w:numFmt w:val="lowerRoman"/>
      <w:start w:val="1"/>
    </w:lvl>
  </w:abstractNum>
  <w:abstractNum w:abstractNumId="56">
    <w:nsid w:val="26F324BA"/>
    <w:multiLevelType w:val="hybridMultilevel"/>
    <w:lvl w:ilvl="0">
      <w:lvlJc w:val="left"/>
      <w:lvlText w:val="●"/>
      <w:numFmt w:val="bullet"/>
      <w:start w:val="1"/>
    </w:lvl>
  </w:abstractNum>
  <w:abstractNum w:abstractNumId="57">
    <w:nsid w:val="7F01579B"/>
    <w:multiLevelType w:val="hybridMultilevel"/>
    <w:lvl w:ilvl="0">
      <w:lvlJc w:val="left"/>
      <w:lvlText w:val="●"/>
      <w:numFmt w:val="bullet"/>
      <w:start w:val="1"/>
    </w:lvl>
  </w:abstractNum>
  <w:abstractNum w:abstractNumId="58">
    <w:nsid w:val="49DA307D"/>
    <w:multiLevelType w:val="hybridMultilevel"/>
    <w:lvl w:ilvl="0">
      <w:lvlJc w:val="left"/>
      <w:lvlText w:val="●"/>
      <w:numFmt w:val="bullet"/>
      <w:start w:val="1"/>
    </w:lvl>
  </w:abstractNum>
  <w:abstractNum w:abstractNumId="59">
    <w:nsid w:val="7055A5F5"/>
    <w:multiLevelType w:val="hybridMultilevel"/>
    <w:lvl w:ilvl="0">
      <w:lvlJc w:val="left"/>
      <w:lvlText w:val="●"/>
      <w:numFmt w:val="bullet"/>
      <w:start w:val="1"/>
    </w:lvl>
  </w:abstractNum>
  <w:abstractNum w:abstractNumId="60">
    <w:nsid w:val="5FB8370B"/>
    <w:multiLevelType w:val="hybridMultilevel"/>
    <w:lvl w:ilvl="0">
      <w:lvlJc w:val="left"/>
      <w:lvlText w:val="●"/>
      <w:numFmt w:val="bullet"/>
      <w:start w:val="1"/>
    </w:lvl>
  </w:abstractNum>
  <w:abstractNum w:abstractNumId="61">
    <w:nsid w:val="50801EE1"/>
    <w:multiLevelType w:val="hybridMultilevel"/>
    <w:lvl w:ilvl="0">
      <w:lvlJc w:val="left"/>
      <w:lvlText w:val="(%1)"/>
      <w:numFmt w:val="decimal"/>
      <w:start w:val="1"/>
    </w:lvl>
  </w:abstractNum>
  <w:abstractNum w:abstractNumId="62">
    <w:nsid w:val="488AC1A"/>
    <w:multiLevelType w:val="hybridMultilevel"/>
    <w:lvl w:ilvl="0">
      <w:lvlJc w:val="left"/>
      <w:lvlText w:val="(%1)"/>
      <w:numFmt w:val="decimal"/>
      <w:start w:val="2"/>
    </w:lvl>
  </w:abstractNum>
  <w:abstractNum w:abstractNumId="63">
    <w:nsid w:val="5FB8011C"/>
    <w:multiLevelType w:val="hybridMultilevel"/>
    <w:lvl w:ilvl="0">
      <w:lvlJc w:val="left"/>
      <w:lvlText w:val="%1."/>
      <w:numFmt w:val="upperLetter"/>
      <w:start w:val="2"/>
    </w:lvl>
    <w:lvl w:ilvl="1">
      <w:lvlJc w:val="left"/>
      <w:lvlText w:val="●"/>
      <w:numFmt w:val="bullet"/>
      <w:start w:val="1"/>
    </w:lvl>
  </w:abstractNum>
  <w:abstractNum w:abstractNumId="64">
    <w:nsid w:val="6AA78F7F"/>
    <w:multiLevelType w:val="hybridMultilevel"/>
    <w:lvl w:ilvl="0">
      <w:lvlJc w:val="left"/>
      <w:lvlText w:val="●"/>
      <w:numFmt w:val="bullet"/>
      <w:start w:val="1"/>
    </w:lvl>
  </w:abstractNum>
  <w:abstractNum w:abstractNumId="65">
    <w:nsid w:val="7672BD23"/>
    <w:multiLevelType w:val="hybridMultilevel"/>
    <w:lvl w:ilvl="0">
      <w:lvlJc w:val="left"/>
      <w:lvlText w:val="(%1)"/>
      <w:numFmt w:val="lowerRoman"/>
      <w:start w:val="1"/>
    </w:lvl>
  </w:abstractNum>
  <w:abstractNum w:abstractNumId="66">
    <w:nsid w:val="6FC75AF8"/>
    <w:multiLevelType w:val="hybridMultilevel"/>
    <w:lvl w:ilvl="0">
      <w:lvlJc w:val="left"/>
      <w:lvlText w:val="(%1)"/>
      <w:numFmt w:val="lowerRoman"/>
      <w:start w:val="1"/>
    </w:lvl>
  </w:abstractNum>
  <w:abstractNum w:abstractNumId="67">
    <w:nsid w:val="6A5F7029"/>
    <w:multiLevelType w:val="hybridMultilevel"/>
    <w:lvl w:ilvl="0">
      <w:lvlJc w:val="left"/>
      <w:lvlText w:val="●"/>
      <w:numFmt w:val="bullet"/>
      <w:start w:val="1"/>
    </w:lvl>
  </w:abstractNum>
  <w:abstractNum w:abstractNumId="68">
    <w:nsid w:val="7D5E18F8"/>
    <w:multiLevelType w:val="hybridMultilevel"/>
    <w:lvl w:ilvl="0">
      <w:lvlJc w:val="left"/>
      <w:lvlText w:val="●"/>
      <w:numFmt w:val="bullet"/>
      <w:start w:val="1"/>
    </w:lvl>
  </w:abstractNum>
  <w:abstractNum w:abstractNumId="69">
    <w:nsid w:val="5F3534A4"/>
    <w:multiLevelType w:val="hybridMultilevel"/>
    <w:lvl w:ilvl="0">
      <w:lvlJc w:val="left"/>
      <w:lvlText w:val="●"/>
      <w:numFmt w:val="bullet"/>
      <w:start w:val="1"/>
    </w:lvl>
  </w:abstractNum>
  <w:abstractNum w:abstractNumId="70">
    <w:nsid w:val="73A1821B"/>
    <w:multiLevelType w:val="hybridMultilevel"/>
    <w:lvl w:ilvl="0">
      <w:lvlJc w:val="left"/>
      <w:lvlText w:val="●"/>
      <w:numFmt w:val="bullet"/>
      <w:start w:val="1"/>
    </w:lvl>
  </w:abstractNum>
  <w:abstractNum w:abstractNumId="71">
    <w:nsid w:val="7DE67713"/>
    <w:multiLevelType w:val="hybridMultilevel"/>
    <w:lvl w:ilvl="0">
      <w:lvlJc w:val="left"/>
      <w:lvlText w:val="%1."/>
      <w:numFmt w:val="decimal"/>
      <w:start w:val="1"/>
    </w:lvl>
  </w:abstractNum>
  <w:abstractNum w:abstractNumId="72">
    <w:nsid w:val="555C55B5"/>
    <w:multiLevelType w:val="hybridMultilevel"/>
    <w:lvl w:ilvl="0">
      <w:lvlJc w:val="left"/>
      <w:lvlText w:val="(%1)"/>
      <w:numFmt w:val="lowerLetter"/>
      <w:start w:val="1"/>
    </w:lvl>
  </w:abstractNum>
  <w:abstractNum w:abstractNumId="73">
    <w:nsid w:val="3FA62ACA"/>
    <w:multiLevelType w:val="hybridMultilevel"/>
    <w:lvl w:ilvl="0">
      <w:lvlJc w:val="left"/>
      <w:lvlText w:val="(%1)"/>
      <w:numFmt w:val="decimal"/>
      <w:start w:val="1"/>
    </w:lvl>
  </w:abstractNum>
  <w:abstractNum w:abstractNumId="74">
    <w:nsid w:val="14FCE74E"/>
    <w:multiLevelType w:val="hybridMultilevel"/>
    <w:lvl w:ilvl="0">
      <w:lvlJc w:val="left"/>
      <w:lvlText w:val="●"/>
      <w:numFmt w:val="bullet"/>
      <w:start w:val="1"/>
    </w:lvl>
  </w:abstractNum>
  <w:abstractNum w:abstractNumId="75">
    <w:nsid w:val="6A3DD3E8"/>
    <w:multiLevelType w:val="hybridMultilevel"/>
    <w:lvl w:ilvl="0">
      <w:lvlJc w:val="left"/>
      <w:lvlText w:val="%1"/>
      <w:numFmt w:val="decimal"/>
      <w:start w:val="104"/>
    </w:lvl>
  </w:abstractNum>
  <w:abstractNum w:abstractNumId="76">
    <w:nsid w:val="71C91298"/>
    <w:multiLevelType w:val="hybridMultilevel"/>
    <w:lvl w:ilvl="0">
      <w:lvlJc w:val="left"/>
      <w:lvlText w:val="●"/>
      <w:numFmt w:val="bullet"/>
      <w:start w:val="1"/>
    </w:lvl>
  </w:abstractNum>
  <w:abstractNum w:abstractNumId="77">
    <w:nsid w:val="9DAF632"/>
    <w:multiLevelType w:val="hybridMultilevel"/>
    <w:lvl w:ilvl="0">
      <w:lvlJc w:val="left"/>
      <w:lvlText w:val="%1."/>
      <w:numFmt w:val="lowerLetter"/>
      <w:start w:val="1"/>
    </w:lvl>
  </w:abstractNum>
  <w:abstractNum w:abstractNumId="78">
    <w:nsid w:val="53299938"/>
    <w:multiLevelType w:val="hybridMultilevel"/>
    <w:lvl w:ilvl="0">
      <w:lvlJc w:val="left"/>
      <w:lvlText w:val="%1."/>
      <w:numFmt w:val="lowerLetter"/>
      <w:start w:val="3"/>
    </w:lvl>
  </w:abstractNum>
  <w:abstractNum w:abstractNumId="79">
    <w:nsid w:val="1FBFE8E0"/>
    <w:multiLevelType w:val="hybridMultilevel"/>
    <w:lvl w:ilvl="0">
      <w:lvlJc w:val="left"/>
      <w:lvlText w:val="%1."/>
      <w:numFmt w:val="lowerLetter"/>
      <w:start w:val="1"/>
    </w:lvl>
  </w:abstractNum>
  <w:abstractNum w:abstractNumId="80">
    <w:nsid w:val="5092CA79"/>
    <w:multiLevelType w:val="hybridMultilevel"/>
    <w:lvl w:ilvl="0">
      <w:lvlJc w:val="left"/>
      <w:lvlText w:val="%1."/>
      <w:numFmt w:val="lowerLetter"/>
      <w:start w:val="4"/>
    </w:lvl>
  </w:abstractNum>
  <w:abstractNum w:abstractNumId="81">
    <w:nsid w:val="1D545C4D"/>
    <w:multiLevelType w:val="hybridMultilevel"/>
    <w:lvl w:ilvl="0">
      <w:lvlJc w:val="left"/>
      <w:lvlText w:val="%1."/>
      <w:numFmt w:val="lowerLetter"/>
      <w:start w:val="8"/>
    </w:lvl>
  </w:abstractNum>
  <w:abstractNum w:abstractNumId="82">
    <w:nsid w:val="59ADEA3D"/>
    <w:multiLevelType w:val="hybridMultilevel"/>
    <w:lvl w:ilvl="0">
      <w:lvlJc w:val="left"/>
      <w:lvlText w:val="%1."/>
      <w:numFmt w:val="lowerLetter"/>
      <w:start w:val="9"/>
    </w:lvl>
  </w:abstractNum>
  <w:abstractNum w:abstractNumId="83">
    <w:nsid w:val="288F1A34"/>
    <w:multiLevelType w:val="hybridMultilevel"/>
    <w:lvl w:ilvl="0">
      <w:lvlJc w:val="left"/>
      <w:lvlText w:val="%1."/>
      <w:numFmt w:val="lowerLetter"/>
      <w:start w:val="11"/>
    </w:lvl>
  </w:abstractNum>
  <w:abstractNum w:abstractNumId="84">
    <w:nsid w:val="2A155DBC"/>
    <w:multiLevelType w:val="hybridMultilevel"/>
    <w:lvl w:ilvl="0">
      <w:lvlJc w:val="left"/>
      <w:lvlText w:val="%1."/>
      <w:numFmt w:val="lowerLetter"/>
      <w:start w:val="14"/>
    </w:lvl>
    <w:lvl w:ilvl="1">
      <w:lvlJc w:val="left"/>
      <w:lvlText w:val="%2)"/>
      <w:numFmt w:val="decimal"/>
      <w:start w:val="1"/>
    </w:lvl>
  </w:abstractNum>
  <w:abstractNum w:abstractNumId="85">
    <w:nsid w:val="1D9F6E5F"/>
    <w:multiLevelType w:val="hybridMultilevel"/>
    <w:lvl w:ilvl="0">
      <w:lvlJc w:val="left"/>
      <w:lvlText w:val="%1."/>
      <w:numFmt w:val="lowerLetter"/>
      <w:start w:val="18"/>
    </w:lvl>
  </w:abstractNum>
  <w:abstractNum w:abstractNumId="86">
    <w:nsid w:val="97E1B4E"/>
    <w:multiLevelType w:val="hybridMultilevel"/>
    <w:lvl w:ilvl="0">
      <w:lvlJc w:val="left"/>
      <w:lvlText w:val="(*)"/>
      <w:numFmt w:val="bullet"/>
      <w:start w:val="1"/>
    </w:lvl>
  </w:abstractNum>
  <w:abstractNum w:abstractNumId="87">
    <w:nsid w:val="51088277"/>
    <w:multiLevelType w:val="hybridMultilevel"/>
    <w:lvl w:ilvl="0">
      <w:lvlJc w:val="left"/>
      <w:lvlText w:val="(***)"/>
      <w:numFmt w:val="bullet"/>
      <w:start w:val="1"/>
    </w:lvl>
  </w:abstractNum>
  <w:abstractNum w:abstractNumId="88">
    <w:nsid w:val="1CA0C5FA"/>
    <w:multiLevelType w:val="hybridMultilevel"/>
    <w:lvl w:ilvl="0">
      <w:lvlJc w:val="left"/>
      <w:lvlText w:val="%1."/>
      <w:numFmt w:val="lowerLetter"/>
      <w:start w:val="19"/>
    </w:lvl>
  </w:abstractNum>
  <w:abstractNum w:abstractNumId="89">
    <w:nsid w:val="53584BCB"/>
    <w:multiLevelType w:val="hybridMultilevel"/>
    <w:lvl w:ilvl="0">
      <w:lvlJc w:val="left"/>
      <w:lvlText w:val="%1."/>
      <w:numFmt w:val="lowerLetter"/>
      <w:start w:val="21"/>
    </w:lvl>
  </w:abstractNum>
  <w:abstractNum w:abstractNumId="90">
    <w:nsid w:val="415E286C"/>
    <w:multiLevelType w:val="hybridMultilevel"/>
    <w:lvl w:ilvl="0">
      <w:lvlJc w:val="left"/>
      <w:lvlText w:val="%1."/>
      <w:numFmt w:val="lowerLetter"/>
      <w:start w:val="1"/>
    </w:lvl>
  </w:abstractNum>
  <w:abstractNum w:abstractNumId="91">
    <w:nsid w:val="7C58FD05"/>
    <w:multiLevelType w:val="hybridMultilevel"/>
    <w:lvl w:ilvl="0">
      <w:lvlJc w:val="left"/>
      <w:lvlText w:val="$"/>
      <w:numFmt w:val="bullet"/>
      <w:start w:val="1"/>
    </w:lvl>
  </w:abstractNum>
  <w:abstractNum w:abstractNumId="92">
    <w:nsid w:val="23D86AAC"/>
    <w:multiLevelType w:val="hybridMultilevel"/>
    <w:lvl w:ilvl="0">
      <w:lvlJc w:val="left"/>
      <w:lvlText w:val="$"/>
      <w:numFmt w:val="bullet"/>
      <w:start w:val="1"/>
    </w:lvl>
  </w:abstractNum>
  <w:abstractNum w:abstractNumId="93">
    <w:nsid w:val="45E6D486"/>
    <w:multiLevelType w:val="hybridMultilevel"/>
    <w:lvl w:ilvl="0">
      <w:lvlJc w:val="left"/>
      <w:lvlText w:val="(*)"/>
      <w:numFmt w:val="bullet"/>
      <w:start w:val="1"/>
    </w:lvl>
  </w:abstractNum>
  <w:abstractNum w:abstractNumId="94">
    <w:nsid w:val="5C10FE21"/>
    <w:multiLevelType w:val="hybridMultilevel"/>
    <w:lvl w:ilvl="0">
      <w:lvlJc w:val="left"/>
      <w:lvlText w:val="%1."/>
      <w:numFmt w:val="lowerLetter"/>
      <w:start w:val="2"/>
    </w:lvl>
  </w:abstractNum>
  <w:abstractNum w:abstractNumId="95">
    <w:nsid w:val="E7FFA2B"/>
    <w:multiLevelType w:val="hybridMultilevel"/>
    <w:lvl w:ilvl="0">
      <w:lvlJc w:val="left"/>
      <w:lvlText w:val="$"/>
      <w:numFmt w:val="bullet"/>
      <w:start w:val="1"/>
    </w:lvl>
  </w:abstractNum>
  <w:abstractNum w:abstractNumId="96">
    <w:nsid w:val="3C5991AA"/>
    <w:multiLevelType w:val="hybridMultilevel"/>
    <w:lvl w:ilvl="0">
      <w:lvlJc w:val="left"/>
      <w:lvlText w:val="$"/>
      <w:numFmt w:val="bullet"/>
      <w:start w:val="1"/>
    </w:lvl>
  </w:abstractNum>
  <w:abstractNum w:abstractNumId="97">
    <w:nsid w:val="4BD8591A"/>
    <w:multiLevelType w:val="hybridMultilevel"/>
    <w:lvl w:ilvl="0">
      <w:lvlJc w:val="left"/>
      <w:lvlText w:val="%1."/>
      <w:numFmt w:val="lowerLetter"/>
      <w:start w:val="3"/>
    </w:lvl>
  </w:abstractNum>
  <w:abstractNum w:abstractNumId="98">
    <w:nsid w:val="78DF6A55"/>
    <w:multiLevelType w:val="hybridMultilevel"/>
    <w:lvl w:ilvl="0">
      <w:lvlJc w:val="left"/>
      <w:lvlText w:val="$"/>
      <w:numFmt w:val="bullet"/>
      <w:start w:val="1"/>
    </w:lvl>
  </w:abstractNum>
  <w:abstractNum w:abstractNumId="99">
    <w:nsid w:val="39B7AAA2"/>
    <w:multiLevelType w:val="hybridMultilevel"/>
    <w:lvl w:ilvl="0">
      <w:lvlJc w:val="left"/>
      <w:lvlText w:val="$"/>
      <w:numFmt w:val="bullet"/>
      <w:start w:val="1"/>
    </w:lvl>
  </w:abstractNum>
  <w:abstractNum w:abstractNumId="100">
    <w:nsid w:val="2B0D8DBE"/>
    <w:multiLevelType w:val="hybridMultilevel"/>
    <w:lvl w:ilvl="0">
      <w:lvlJc w:val="left"/>
      <w:lvlText w:val="%1."/>
      <w:numFmt w:val="lowerLetter"/>
      <w:start w:val="1"/>
    </w:lvl>
  </w:abstractNum>
  <w:abstractNum w:abstractNumId="101">
    <w:nsid w:val="6C80EC70"/>
    <w:multiLevelType w:val="hybridMultilevel"/>
    <w:lvl w:ilvl="0">
      <w:lvlJc w:val="left"/>
      <w:lvlText w:val="(%1)"/>
      <w:numFmt w:val="decimal"/>
      <w:start w:val="1"/>
    </w:lvl>
  </w:abstractNum>
  <w:abstractNum w:abstractNumId="102">
    <w:nsid w:val="379E21B5"/>
    <w:multiLevelType w:val="hybridMultilevel"/>
    <w:lvl w:ilvl="0">
      <w:lvlJc w:val="left"/>
      <w:lvlText w:val="*"/>
      <w:numFmt w:val="bullet"/>
      <w:start w:val="1"/>
    </w:lvl>
  </w:abstractNum>
  <w:abstractNum w:abstractNumId="103">
    <w:nsid w:val="69E373"/>
    <w:multiLevelType w:val="hybridMultilevel"/>
    <w:lvl w:ilvl="0">
      <w:lvlJc w:val="left"/>
      <w:lvlText w:val="%1."/>
      <w:numFmt w:val="lowerLetter"/>
      <w:start w:val="3"/>
    </w:lvl>
  </w:abstractNum>
  <w:abstractNum w:abstractNumId="104">
    <w:nsid w:val="2C27173B"/>
    <w:multiLevelType w:val="hybridMultilevel"/>
    <w:lvl w:ilvl="0">
      <w:lvlJc w:val="left"/>
      <w:lvlText w:val="%1."/>
      <w:numFmt w:val="lowerLetter"/>
      <w:start w:val="5"/>
    </w:lvl>
  </w:abstractNum>
  <w:abstractNum w:abstractNumId="105">
    <w:nsid w:val="4C9B0904"/>
    <w:multiLevelType w:val="hybridMultilevel"/>
    <w:lvl w:ilvl="0">
      <w:lvlJc w:val="left"/>
      <w:lvlText w:val="%1."/>
      <w:numFmt w:val="lowerLetter"/>
      <w:start w:val="1"/>
    </w:lvl>
  </w:abstractNum>
  <w:abstractNum w:abstractNumId="106">
    <w:nsid w:val="6AA7B75C"/>
    <w:multiLevelType w:val="hybridMultilevel"/>
    <w:lvl w:ilvl="0">
      <w:lvlJc w:val="left"/>
      <w:lvlText w:val="%1."/>
      <w:numFmt w:val="lowerLetter"/>
      <w:start w:val="2"/>
    </w:lvl>
  </w:abstractNum>
  <w:abstractNum w:abstractNumId="107">
    <w:nsid w:val="1DF029D3"/>
    <w:multiLevelType w:val="hybridMultilevel"/>
    <w:lvl w:ilvl="0">
      <w:lvlJc w:val="left"/>
      <w:lvlText w:val="(*)"/>
      <w:numFmt w:val="bullet"/>
      <w:start w:val="1"/>
    </w:lvl>
  </w:abstractNum>
  <w:abstractNum w:abstractNumId="108">
    <w:nsid w:val="5675FF36"/>
    <w:multiLevelType w:val="hybridMultilevel"/>
    <w:lvl w:ilvl="0">
      <w:lvlJc w:val="left"/>
      <w:lvlText w:val="%1."/>
      <w:numFmt w:val="lowerLetter"/>
      <w:start w:val="1"/>
    </w:lvl>
  </w:abstractNum>
  <w:abstractNum w:abstractNumId="109">
    <w:nsid w:val="3DD15094"/>
    <w:multiLevelType w:val="hybridMultilevel"/>
    <w:lvl w:ilvl="0">
      <w:lvlJc w:val="left"/>
      <w:lvlText w:val="%1."/>
      <w:numFmt w:val="lowerLetter"/>
      <w:start w:val="2"/>
    </w:lvl>
  </w:abstractNum>
  <w:abstractNum w:abstractNumId="110">
    <w:nsid w:val="3DB012B3"/>
    <w:multiLevelType w:val="hybridMultilevel"/>
    <w:lvl w:ilvl="0">
      <w:lvlJc w:val="left"/>
      <w:lvlText w:val="%1."/>
      <w:numFmt w:val="lowerLetter"/>
      <w:start w:val="3"/>
    </w:lvl>
  </w:abstractNum>
  <w:abstractNum w:abstractNumId="111">
    <w:nsid w:val="2708C9AF"/>
    <w:multiLevelType w:val="hybridMultilevel"/>
    <w:lvl w:ilvl="0">
      <w:lvlJc w:val="left"/>
      <w:lvlText w:val="%1."/>
      <w:numFmt w:val="lowerLetter"/>
      <w:start w:val="4"/>
    </w:lvl>
  </w:abstractNum>
  <w:abstractNum w:abstractNumId="112">
    <w:nsid w:val="5B25ACE2"/>
    <w:multiLevelType w:val="hybridMultilevel"/>
    <w:lvl w:ilvl="0">
      <w:lvlJc w:val="left"/>
      <w:lvlText w:val="%1."/>
      <w:numFmt w:val="lowerLetter"/>
      <w:start w:val="5"/>
    </w:lvl>
  </w:abstractNum>
  <w:abstractNum w:abstractNumId="113">
    <w:nsid w:val="175DFCF0"/>
    <w:multiLevelType w:val="hybridMultilevel"/>
    <w:lvl w:ilvl="0">
      <w:lvlJc w:val="left"/>
      <w:lvlText w:val="%1."/>
      <w:numFmt w:val="lowerLetter"/>
      <w:start w:val="1"/>
    </w:lvl>
  </w:abstractNum>
  <w:abstractNum w:abstractNumId="114">
    <w:nsid w:val="4F97E3E4"/>
    <w:multiLevelType w:val="hybridMultilevel"/>
    <w:lvl w:ilvl="0">
      <w:lvlJc w:val="left"/>
      <w:lvlText w:val="%1."/>
      <w:numFmt w:val="lowerLetter"/>
      <w:start w:val="2"/>
    </w:lvl>
  </w:abstractNum>
  <w:abstractNum w:abstractNumId="115">
    <w:nsid w:val="53B0A9E"/>
    <w:multiLevelType w:val="hybridMultilevel"/>
    <w:lvl w:ilvl="0">
      <w:lvlJc w:val="left"/>
      <w:lvlText w:val="●"/>
      <w:numFmt w:val="bullet"/>
      <w:start w:val="1"/>
    </w:lvl>
  </w:abstractNum>
  <w:abstractNum w:abstractNumId="116">
    <w:nsid w:val="34FD6B4F"/>
    <w:multiLevelType w:val="hybridMultilevel"/>
    <w:lvl w:ilvl="0">
      <w:lvlJc w:val="left"/>
      <w:lvlText w:val="%1."/>
      <w:numFmt w:val="decimal"/>
      <w:start w:val="1"/>
    </w:lvl>
  </w:abstractNum>
  <w:abstractNum w:abstractNumId="117">
    <w:nsid w:val="5915FF32"/>
    <w:multiLevelType w:val="hybridMultilevel"/>
    <w:lvl w:ilvl="0">
      <w:lvlJc w:val="left"/>
      <w:lvlText w:val="%1."/>
      <w:numFmt w:val="decimal"/>
      <w:start w:val="3"/>
    </w:lvl>
  </w:abstractNum>
  <w:abstractNum w:abstractNumId="118">
    <w:nsid w:val="56438D15"/>
    <w:multiLevelType w:val="hybridMultilevel"/>
    <w:lvl w:ilvl="0">
      <w:lvlJc w:val="left"/>
      <w:lvlText w:val="%1."/>
      <w:numFmt w:val="decimal"/>
      <w:start w:val="4"/>
    </w:lvl>
  </w:abstractNum>
  <w:abstractNum w:abstractNumId="119">
    <w:nsid w:val="519E3149"/>
    <w:multiLevelType w:val="hybridMultilevel"/>
    <w:lvl w:ilvl="0">
      <w:lvlJc w:val="left"/>
      <w:lvlText w:val="%1."/>
      <w:numFmt w:val="decimal"/>
      <w:start w:val="5"/>
    </w:lvl>
  </w:abstractNum>
  <w:abstractNum w:abstractNumId="120">
    <w:nsid w:val="2C6E4AFD"/>
    <w:multiLevelType w:val="hybridMultilevel"/>
    <w:lvl w:ilvl="0">
      <w:lvlJc w:val="left"/>
      <w:lvlText w:val="%1."/>
      <w:numFmt w:val="decimal"/>
      <w:start w:val="1"/>
    </w:lvl>
  </w:abstractNum>
  <w:abstractNum w:abstractNumId="121">
    <w:nsid w:val="17A1B582"/>
    <w:multiLevelType w:val="hybridMultilevel"/>
    <w:lvl w:ilvl="0">
      <w:lvlJc w:val="left"/>
      <w:lvlText w:val="%1."/>
      <w:numFmt w:val="decimal"/>
      <w:start w:val="4"/>
    </w:lvl>
  </w:abstractNum>
  <w:abstractNum w:abstractNumId="122">
    <w:nsid w:val="4DF72E4E"/>
    <w:multiLevelType w:val="hybridMultilevel"/>
    <w:lvl w:ilvl="0">
      <w:lvlJc w:val="left"/>
      <w:lvlText w:val="%1."/>
      <w:numFmt w:val="decimal"/>
      <w:start w:val="1"/>
    </w:lvl>
  </w:abstractNum>
  <w:abstractNum w:abstractNumId="123">
    <w:nsid w:val="5046B5A9"/>
    <w:multiLevelType w:val="hybridMultilevel"/>
    <w:lvl w:ilvl="0">
      <w:lvlJc w:val="left"/>
      <w:lvlText w:val="%1)"/>
      <w:numFmt w:val="lowerLetter"/>
      <w:start w:val="1"/>
    </w:lvl>
  </w:abstractNum>
  <w:abstractNum w:abstractNumId="124">
    <w:nsid w:val="5D888A08"/>
    <w:multiLevelType w:val="hybridMultilevel"/>
    <w:lvl w:ilvl="0">
      <w:lvlJc w:val="left"/>
      <w:lvlText w:val="%1."/>
      <w:numFmt w:val="decimal"/>
      <w:start w:val="5"/>
    </w:lvl>
  </w:abstractNum>
  <w:abstractNum w:abstractNumId="125">
    <w:nsid w:val="2A082C70"/>
    <w:multiLevelType w:val="hybridMultilevel"/>
    <w:lvl w:ilvl="0">
      <w:lvlJc w:val="left"/>
      <w:lvlText w:val="%1)"/>
      <w:numFmt w:val="lowerLetter"/>
      <w:start w:val="1"/>
    </w:lvl>
  </w:abstractNum>
  <w:abstractNum w:abstractNumId="126">
    <w:nsid w:val="5EC6AFD4"/>
    <w:multiLevelType w:val="hybridMultilevel"/>
    <w:lvl w:ilvl="0">
      <w:lvlJc w:val="left"/>
      <w:lvlText w:val="%1."/>
      <w:numFmt w:val="decimal"/>
      <w:start w:val="1"/>
    </w:lvl>
  </w:abstractNum>
  <w:abstractNum w:abstractNumId="127">
    <w:nsid w:val="19E21BB2"/>
    <w:multiLevelType w:val="hybridMultilevel"/>
    <w:lvl w:ilvl="0">
      <w:lvlJc w:val="left"/>
      <w:lvlText w:val="%1)"/>
      <w:numFmt w:val="lowerLetter"/>
      <w:start w:val="1"/>
    </w:lvl>
  </w:abstractNum>
  <w:abstractNum w:abstractNumId="128">
    <w:nsid w:val="75E0858A"/>
    <w:multiLevelType w:val="hybridMultilevel"/>
    <w:lvl w:ilvl="0">
      <w:lvlJc w:val="left"/>
      <w:lvlText w:val="%1."/>
      <w:numFmt w:val="decimal"/>
      <w:start w:val="5"/>
    </w:lvl>
  </w:abstractNum>
  <w:abstractNum w:abstractNumId="129">
    <w:nsid w:val="57A61A29"/>
    <w:multiLevelType w:val="hybridMultilevel"/>
    <w:lvl w:ilvl="0">
      <w:lvlJc w:val="left"/>
      <w:lvlText w:val="%1)"/>
      <w:numFmt w:val="lowerLetter"/>
      <w:start w:val="1"/>
    </w:lvl>
  </w:abstractNum>
  <w:abstractNum w:abstractNumId="130">
    <w:nsid w:val="5399C654"/>
    <w:multiLevelType w:val="hybridMultilevel"/>
    <w:lvl w:ilvl="0">
      <w:lvlJc w:val="left"/>
      <w:lvlText w:val="(%1)"/>
      <w:numFmt w:val="decimal"/>
      <w:start w:val="1"/>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jpe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141" Type="http://schemas.openxmlformats.org/officeDocument/2006/relationships/hyperlink" Target="http://www.sec.gov/Archives/edgar/data/1795251/000114036120018404/nt10006151x9_ex3-2.htm" TargetMode="External"/><Relationship Id="rId142" Type="http://schemas.openxmlformats.org/officeDocument/2006/relationships/hyperlink" Target="http://www.sec.gov/Archives/edgar/data/1795251/000121390022022912/f20f2021ex4-1_nanox.htm" TargetMode="External"/><Relationship Id="rId143" Type="http://schemas.openxmlformats.org/officeDocument/2006/relationships/hyperlink" Target="https://www.sec.gov/Archives/edgar/data/1795251/000121390022022912/f20f2021ex4-2_nanox.htm" TargetMode="External"/><Relationship Id="rId144" Type="http://schemas.openxmlformats.org/officeDocument/2006/relationships/hyperlink" Target="http://www.sec.gov/Archives/edgar/data/1795251/000121390022022912/f20f2021ex4-3_nanox.htm" TargetMode="External"/><Relationship Id="rId145" Type="http://schemas.openxmlformats.org/officeDocument/2006/relationships/hyperlink" Target="http://www.sec.gov/Archives/edgar/data/1795251/000121390022022912/f20f2021ex4-4_nanox.htm" TargetMode="External"/><Relationship Id="rId146" Type="http://schemas.openxmlformats.org/officeDocument/2006/relationships/hyperlink" Target="http://www.sec.gov/Archives/edgar/data/1795251/000114036120017084/nt10006151x8_ex4-5.htm" TargetMode="External"/><Relationship Id="rId147" Type="http://schemas.openxmlformats.org/officeDocument/2006/relationships/hyperlink" Target="http://www.sec.gov/Archives/edgar/data/1795251/000114036120017084/nt10006151x8_ex4-6.htm" TargetMode="External"/><Relationship Id="rId148" Type="http://schemas.openxmlformats.org/officeDocument/2006/relationships/hyperlink" Target="http://www.sec.gov/Archives/edgar/data/1795251/000114036120017084/nt10006151x8_ex4-7.htm" TargetMode="External"/><Relationship Id="rId149" Type="http://schemas.openxmlformats.org/officeDocument/2006/relationships/hyperlink" Target="http://www.sec.gov/Archives/edgar/data/1795251/000114036120017084/nt10006151x8_ex10-1.htm" TargetMode="External"/><Relationship Id="rId150" Type="http://schemas.openxmlformats.org/officeDocument/2006/relationships/hyperlink" Target="http://www.sec.gov/Archives/edgar/data/1795251/000114036120018404/nt10006151x9_ex10-2.htm" TargetMode="External"/><Relationship Id="rId151" Type="http://schemas.openxmlformats.org/officeDocument/2006/relationships/hyperlink" Target="http://www.sec.gov/Archives/edgar/data/1795251/000114036120017084/nt10006151x8_ex10-3.htm" TargetMode="External"/><Relationship Id="rId152" Type="http://schemas.openxmlformats.org/officeDocument/2006/relationships/hyperlink" Target="http://www.sec.gov/Archives/edgar/data/1795251/000114036120017084/nt10006151x8_ex10-4.htm" TargetMode="External"/><Relationship Id="rId153" Type="http://schemas.openxmlformats.org/officeDocument/2006/relationships/hyperlink" Target="http://www.sec.gov/Archives/edgar/data/1795251/000114036120018404/nt10006151x9_ex10-5.htm" TargetMode="External"/><Relationship Id="rId154" Type="http://schemas.openxmlformats.org/officeDocument/2006/relationships/hyperlink" Target="http://www.sec.gov/Archives/edgar/data/1795251/000114036120030050/brhc10018522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2023-05-01T05:57:36Z</dcterms:created>
  <dcterms:modified xsi:type="dcterms:W3CDTF">2023-05-01T05:57:36Z</dcterms:modified>
</cp:coreProperties>
</file>