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57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57290"/>
                    </a:xfrm>
                    <a:prstGeom prst="rect">
                      <a:avLst/>
                    </a:prstGeom>
                    <a:noFill/>
                  </pic:spPr>
                </pic:pic>
              </a:graphicData>
            </a:graphic>
          </wp:anchor>
        </w:drawing>
      </w:r>
    </w:p>
    <w:p>
      <w:pPr>
        <w:sectPr>
          <w:pgSz w:w="11900" w:h="1691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Suesskind Dan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Nano-X Imaging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NNOX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914"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NANO-X IMAGING LTD., OFER TECH PARK</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94 SHLOMO SHMELTZER ROAD</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PETACH</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4970602</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TIKVA</w:t>
            </w:r>
          </w:p>
        </w:tc>
        <w:tc>
          <w:tcPr>
            <w:tcW w:w="7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914"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532"/>
              <w:spacing w:after="0"/>
              <w:rPr>
                <w:sz w:val="20"/>
                <w:szCs w:val="20"/>
                <w:color w:val="auto"/>
              </w:rPr>
            </w:pPr>
            <w:r>
              <w:rPr>
                <w:rFonts w:ascii="Times New Roman" w:cs="Times New Roman" w:eastAsia="Times New Roman" w:hAnsi="Times New Roman"/>
                <w:sz w:val="20"/>
                <w:szCs w:val="20"/>
                <w:color w:val="0000FF"/>
              </w:rPr>
              <w:t>7,792</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(2)</w:t>
            </w: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492"/>
              <w:spacing w:after="0"/>
              <w:rPr>
                <w:sz w:val="20"/>
                <w:szCs w:val="20"/>
                <w:color w:val="auto"/>
              </w:rPr>
            </w:pPr>
            <w:r>
              <w:rPr>
                <w:rFonts w:ascii="Times New Roman" w:cs="Times New Roman" w:eastAsia="Times New Roman" w:hAnsi="Times New Roman"/>
                <w:sz w:val="20"/>
                <w:szCs w:val="20"/>
                <w:color w:val="0000FF"/>
              </w:rPr>
              <w:t>17,544</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02/09/2031</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12,505</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64.61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12/28/2032</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50,000</w:t>
            </w:r>
          </w:p>
        </w:tc>
        <w:tc>
          <w:tcPr>
            <w:tcW w:w="4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17.63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 ordinary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12/31/2033</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10,000</w:t>
            </w:r>
          </w:p>
        </w:tc>
        <w:tc>
          <w:tcPr>
            <w:tcW w:w="40" w:type="dxa"/>
            <w:vAlign w:val="bottom"/>
          </w:tcPr>
          <w:p>
            <w:pPr>
              <w:spacing w:after="0"/>
              <w:rPr>
                <w:sz w:val="24"/>
                <w:szCs w:val="24"/>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11.52</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("RSUs") that were granted to the Reporting Person on December 10, 2024 and that vest and settle for underlying shares in twelve equal quarterly installments (each for 8.33% of the RSUs granted) such that by the three-year anniversary of the grant date (December 10, 2027) all underlying shares will be issued to the Reporting Person.</w:t>
      </w:r>
    </w:p>
    <w:p>
      <w:pPr>
        <w:spacing w:after="0" w:line="29" w:lineRule="exact"/>
        <w:rPr>
          <w:rFonts w:ascii="Times New Roman" w:cs="Times New Roman" w:eastAsia="Times New Roman" w:hAnsi="Times New Roman"/>
          <w:sz w:val="15"/>
          <w:szCs w:val="15"/>
          <w:color w:val="008000"/>
        </w:rPr>
      </w:pPr>
    </w:p>
    <w:p>
      <w:pPr>
        <w:ind w:left="40" w:right="3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RSUs that were granted to the Reporting Person on December 10, 2025 and that vest and settle for underlying shares in twelve equal quarterly installments (each for 8.33% of the RSUs granted) such that by the three-year anniversary of the grant date (December 10, 2028) all underlying shares will be issued to the Reporting Person.</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February 9, 2021 and are fully vested and exercisable as of the date of this report.</w:t>
      </w:r>
    </w:p>
    <w:p>
      <w:pPr>
        <w:spacing w:after="0" w:line="52" w:lineRule="exact"/>
        <w:rPr>
          <w:rFonts w:ascii="Times New Roman" w:cs="Times New Roman" w:eastAsia="Times New Roman" w:hAnsi="Times New Roman"/>
          <w:sz w:val="15"/>
          <w:szCs w:val="15"/>
          <w:color w:val="008000"/>
        </w:rPr>
      </w:pPr>
    </w:p>
    <w:p>
      <w:pPr>
        <w:jc w:val="both"/>
        <w:ind w:left="40" w:right="2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December 28, 2022 and vest and become exercisable in 16 equal installments of 6.25% each on each three-month anniversary of the date of approval of the grant by the Issuer's Board of Directors (i.e., May 16, 2022), such that all options reported in this row will be exercisable on the four-year anniversary of that grant approval date (May 16, 2026).</w:t>
      </w:r>
    </w:p>
    <w:p>
      <w:pPr>
        <w:spacing w:after="0" w:line="29" w:lineRule="exact"/>
        <w:rPr>
          <w:rFonts w:ascii="Times New Roman" w:cs="Times New Roman" w:eastAsia="Times New Roman" w:hAnsi="Times New Roman"/>
          <w:sz w:val="15"/>
          <w:szCs w:val="15"/>
          <w:color w:val="008000"/>
        </w:rPr>
      </w:pPr>
    </w:p>
    <w:p>
      <w:pPr>
        <w:ind w:left="40" w:right="10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reported in this row were granted to the Reporting Person by the Issuer on December 31, 2023 and vest and become exercisable in 16 equal installments of 6.25% each on each three-month anniversary of the date of approval of the grant by the Issuer's Board of Directors (i.e., August 14, 2023), such that all options reported in this row will be exercisable on the four-year anniversary of that grant approval date (August 14,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Power of Attorney</w:t>
      </w:r>
    </w:p>
    <w:p>
      <w:pPr>
        <w:spacing w:after="0" w:line="62"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Marina Gofman Feler,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r>
        <w:trPr>
          <w:trHeight w:val="100"/>
        </w:trPr>
        <w:tc>
          <w:tcPr>
            <w:tcW w:w="19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4"/>
          <w:szCs w:val="24"/>
          <w:color w:val="auto"/>
        </w:rPr>
      </w:pPr>
    </w:p>
    <w:p>
      <w:pPr>
        <w:sectPr>
          <w:pgSz w:w="11900" w:h="16914" w:orient="portrait"/>
          <w:cols w:equalWidth="0" w:num="1">
            <w:col w:w="10940"/>
          </w:cols>
          <w:pgMar w:left="480" w:top="230"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pacing w:after="0" w:line="7" w:lineRule="exact"/>
        <w:rPr>
          <w:sz w:val="24"/>
          <w:szCs w:val="24"/>
          <w:color w:val="auto"/>
        </w:rPr>
      </w:pPr>
    </w:p>
    <w:p>
      <w:pPr>
        <w:ind w:left="6580"/>
        <w:spacing w:after="0"/>
        <w:rPr>
          <w:sz w:val="20"/>
          <w:szCs w:val="20"/>
          <w:color w:val="auto"/>
        </w:rPr>
      </w:pPr>
      <w:r>
        <w:rPr>
          <w:rFonts w:ascii="Arial" w:cs="Arial" w:eastAsia="Arial" w:hAnsi="Arial"/>
          <w:sz w:val="15"/>
          <w:szCs w:val="15"/>
          <w:color w:val="auto"/>
        </w:rPr>
        <w:t>Person</w:t>
      </w:r>
    </w:p>
    <w:p>
      <w:pPr>
        <w:sectPr>
          <w:pgSz w:w="11900" w:h="16914"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85" w:right="5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Marina Gofman Feler, Chief Legal Officer of Nano-X Imaging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1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30th day of April,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tbl>
      <w:tblPr>
        <w:tblLayout w:type="fixed"/>
        <w:tblInd w:w="6580" w:type="dxa"/>
        <w:tblCellMar>
          <w:top w:w="0" w:type="dxa"/>
          <w:left w:w="0" w:type="dxa"/>
          <w:bottom w:w="0" w:type="dxa"/>
          <w:right w:w="0" w:type="dxa"/>
        </w:tblCellMar>
      </w:tblPr>
      <w:tr>
        <w:trPr>
          <w:trHeight w:val="27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 Dan Suesskind</w:t>
            </w:r>
          </w:p>
        </w:tc>
      </w:tr>
      <w:tr>
        <w:trPr>
          <w:trHeight w:val="260"/>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0" w:type="dxa"/>
            <w:vAlign w:val="bottom"/>
          </w:tcPr>
          <w:p>
            <w:pPr>
              <w:spacing w:after="0"/>
              <w:rPr>
                <w:sz w:val="22"/>
                <w:szCs w:val="22"/>
                <w:color w:val="auto"/>
              </w:rPr>
            </w:pPr>
          </w:p>
        </w:tc>
        <w:tc>
          <w:tcPr>
            <w:tcW w:w="3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Dan Suesskind</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03873" TargetMode="External"/><Relationship Id="rId11" Type="http://schemas.openxmlformats.org/officeDocument/2006/relationships/hyperlink" Target="http://www.sec.gov/cgi-bin/browse-edgar?action=getcompany&amp;CIK=00017952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2026-04-30T13:42:58Z</dcterms:created>
  <dcterms:modified xsi:type="dcterms:W3CDTF">2026-04-30T13:42:58Z</dcterms:modified>
</cp:coreProperties>
</file>