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740" w:right="720" w:hanging="3014"/>
        <w:spacing w:after="0" w:line="500" w:lineRule="auto"/>
        <w:tabs>
          <w:tab w:leader="none" w:pos="9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2"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Ofer Tech Park, 94 Shlomo Shmeltzer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Petach Tikva, Israel 4970602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Erez Meltzer,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+972 03 37359202</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+972 03 37359203</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Email: Erez.m@nanox.vision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Ofer Tech Park, 94 Shlomo Shmeltzer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Petach Tikva, Israel 4970602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NIS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NNOX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69,590,228 Ordinary Shares as of December 31, 2025.</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sectPr>
          <w:pgSz w:w="11900" w:h="16838" w:orient="portrait"/>
          <w:cols w:equalWidth="0" w:num="4">
            <w:col w:w="2100" w:space="720"/>
            <w:col w:w="2080" w:space="720"/>
            <w:col w:w="2100" w:space="720"/>
            <w:col w:w="2800"/>
          </w:cols>
          <w:pgMar w:left="320" w:top="877"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annual report:</w:t>
      </w:r>
    </w:p>
    <w:p>
      <w:pPr>
        <w:sectPr>
          <w:pgSz w:w="11900" w:h="16838" w:orient="portrait"/>
          <w:cols w:equalWidth="0" w:num="1">
            <w:col w:w="11240"/>
          </w:cols>
          <w:pgMar w:left="320" w:top="877"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660"/>
        <w:spacing w:after="0" w:line="23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92" w:lineRule="exact"/>
        <w:rPr>
          <w:sz w:val="20"/>
          <w:szCs w:val="20"/>
          <w:color w:val="auto"/>
        </w:rPr>
      </w:pPr>
    </w:p>
    <w:p>
      <w:pPr>
        <w:sectPr>
          <w:pgSz w:w="11900" w:h="16838" w:orient="portrait"/>
          <w:cols w:equalWidth="0" w:num="3">
            <w:col w:w="2220" w:space="720"/>
            <w:col w:w="6960" w:space="720"/>
            <w:col w:w="620"/>
          </w:cols>
          <w:pgMar w:left="320" w:top="877"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38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Part I</w:t>
            </w: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34"/>
        </w:trPr>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8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610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1380" w:type="dxa"/>
            <w:vAlign w:val="bottom"/>
            <w:tcBorders>
              <w:top w:val="single" w:sz="8" w:color="CCEEFF"/>
            </w:tcBorders>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20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8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105</w:t>
            </w:r>
          </w:p>
        </w:tc>
      </w:tr>
      <w:tr>
        <w:trPr>
          <w:trHeight w:val="175"/>
        </w:trPr>
        <w:tc>
          <w:tcPr>
            <w:tcW w:w="1380" w:type="dxa"/>
            <w:vAlign w:val="bottom"/>
            <w:tcBorders>
              <w:top w:val="single" w:sz="8" w:color="CCEEFF"/>
            </w:tcBorders>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3360" w:type="dxa"/>
            <w:vAlign w:val="bottom"/>
            <w:tcBorders>
              <w:top w:val="single" w:sz="8" w:color="0000EE"/>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5600" w:type="dxa"/>
            <w:vAlign w:val="bottom"/>
            <w:tcBorders>
              <w:top w:val="single" w:sz="8" w:color="CCEEFF"/>
            </w:tcBorders>
            <w:gridSpan w:val="10"/>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37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Major Shareholders and Related Party Transactions</w:t>
            </w:r>
          </w:p>
        </w:tc>
        <w:tc>
          <w:tcPr>
            <w:tcW w:w="526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136</w:t>
            </w:r>
          </w:p>
        </w:tc>
      </w:tr>
      <w:tr>
        <w:trPr>
          <w:trHeight w:val="176"/>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140</w:t>
            </w: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140</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Qualitative and Quantitative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155</w:t>
            </w:r>
          </w:p>
        </w:tc>
      </w:tr>
      <w:tr>
        <w:trPr>
          <w:trHeight w:val="175"/>
        </w:trPr>
        <w:tc>
          <w:tcPr>
            <w:tcW w:w="1380" w:type="dxa"/>
            <w:vAlign w:val="bottom"/>
            <w:tcBorders>
              <w:top w:val="single" w:sz="8" w:color="CCEEFF"/>
            </w:tcBorders>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4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462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155</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3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156</w:t>
            </w:r>
          </w:p>
        </w:tc>
      </w:tr>
      <w:tr>
        <w:trPr>
          <w:trHeight w:val="20"/>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156</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60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3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156</w:t>
            </w: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156</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89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159</w:t>
            </w:r>
          </w:p>
        </w:tc>
      </w:tr>
      <w:tr>
        <w:trPr>
          <w:trHeight w:val="175"/>
        </w:trPr>
        <w:tc>
          <w:tcPr>
            <w:tcW w:w="1380" w:type="dxa"/>
            <w:vAlign w:val="bottom"/>
            <w:tcBorders>
              <w:top w:val="single" w:sz="8" w:color="CCEEFF"/>
            </w:tcBorders>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328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5680" w:type="dxa"/>
            <w:vAlign w:val="bottom"/>
            <w:tcBorders>
              <w:top w:val="single" w:sz="8" w:color="CCEEFF"/>
            </w:tcBorders>
            <w:gridSpan w:val="11"/>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159</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17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Mine Safety Disclosure</w:t>
            </w:r>
          </w:p>
        </w:tc>
        <w:tc>
          <w:tcPr>
            <w:tcW w:w="726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159</w:t>
            </w: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17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Insider Trading Policies</w:t>
            </w:r>
          </w:p>
        </w:tc>
        <w:tc>
          <w:tcPr>
            <w:tcW w:w="724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159</w:t>
            </w:r>
          </w:p>
        </w:tc>
      </w:tr>
      <w:tr>
        <w:trPr>
          <w:trHeight w:val="176"/>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3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162</w:t>
            </w:r>
          </w:p>
        </w:tc>
      </w:tr>
      <w:tr>
        <w:trPr>
          <w:trHeight w:val="20"/>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89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162</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1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746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162</w:t>
            </w:r>
          </w:p>
        </w:tc>
      </w:tr>
      <w:tr>
        <w:trPr>
          <w:trHeight w:val="175"/>
        </w:trPr>
        <w:tc>
          <w:tcPr>
            <w:tcW w:w="1380" w:type="dxa"/>
            <w:vAlign w:val="bottom"/>
            <w:gridSpan w:val="4"/>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6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360" w:type="dxa"/>
            <w:vAlign w:val="bottom"/>
            <w:gridSpan w:val="28"/>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NANO-X IMAGING LTD was incorporated under the laws of the State of Israel on December 20, 2018 and commenced operations on September 3, 2019. Unless the context otherwise requires, all references to “Nanox,” “we,” “us,” “our,” the “Company” and similar designations refer to NANO-X IMAGING LTD, an Israeli company, and its consolidated subsidiaries. Unless derived from our financial statements or otherwise noted, the terms “shekels” and “NIS” refer to New Israeli Shekels, the lawful currency of the State of Israel, the terms “dollar” or “$” refer to U.S. dollars, the lawful currency of the United States, and “KRW” refers to Korean Won, the lawful currency of South Korea.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statements that are not historical facts contained in this annual report on Form 20-F are forward-looking statements. These forward-looking statements include information about possible or assumed future results of our business, financial condition, results of operations, prospects, liquidity, plans and objectives. In some cases, you can identify forward-looking statements by terminology such as “can,” “might,” “believe,” “may,” “estimate,” “continue,” “anticipate,” “intend,” “should,” “plan,” “could,” “expect,” “predict,” “potential,” or the negative of these terms or other similar expressions.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Forward-looking statements include, but are not limited to, statements concerning:</w:t>
      </w:r>
    </w:p>
    <w:p>
      <w:pPr>
        <w:spacing w:after="0" w:line="18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manufacturing and commercialization activities with respect to our X-ray source technologies, the Nanox.ARC or the Nanox.ARC X, and the Nanox.CLOUD, which comprise the Nanox System;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demonstrate the feasibility of our technology for commercial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necessity of, timing of filing for, and receipt and maintenance of, regulatory clearances or approvals regarding our technology, the Nanox.ARC, or the Nanox.ARC X, and the Nanox.CLOUD from regulatory agencies worldwide and our ongoing compliance with applicable quality standards and regulatory requirements;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Nanox.ARC and the Nanox.ARC X, at a lower cost than medical imaging systems that use a legacy analog X-ray source;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structure of our products and services, once such products and services receive regulatory clearance 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the business of companies that we have acquired and to realize the anticipated benefits of the acquisitions, which may be affected by, among other things, competition, brand recognition, the ability of the acquired company to grow and manage growth profitably and retain its key employees;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collaborations with third-parties and their potential benefits, including the Company’s dependence on distribution partners to deploy and sell Nanox.ARC systems and the risk that such partners may not perform as expected;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and shift toward distribution collaborations and commercial partnerships with established medical imaging providers to scale the deployment of Nanox.ARC system, our expectations regarding the performance of our distribution partners and the timing and extent of system purchases under commercial agreements;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maintain commercially reasonable arrangements with third-party manufacturers and suppliers to manufacture the Nanox.ARC and Nanox.ARC X, including risks associated with transitioning to an outsourced manufacturing model as part of the restructuring plan, and reliance on third-party international manufacturing partners;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business globally, including our ability to secure and maintain our supply chain through third-party supply partners;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completion of the restructuring, the anticipated restructuring and related charges, the expected reduction in structural and overhead costs, capital expenditures, and cash utilization, and the expected improvement in gross margins and operational efficiency;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position, including our ability to fund operations and manage cash utilization in light of negative operating cash flows;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when certain patents may be issued and the protection and enforcement of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technology and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relating to our competitors and the medical imaging industry;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adoption of the Medical Screening as a Service (“MSaaS”) based model by market participants and our ability to negotiate, enter into and implement the MSaaS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opportunities for our technology and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executive managers;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data protection laws, regulations and similar rules and to establish and maintain adequate cyber-security and data protection;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third-party payor coverage or reimbursement of our Nanox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maintenance of our foreign private issuer status;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changes in the global, national, regional or local economic, business, competitive, market, and regulatory landscape, including as a result of the security, political and economic instability in the Middle East that could harm our business, including due to the current war between Israel and Hamas and the ongoing conflict in Ukraine;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litigation and investigations we are or may be subject to in the future; and our success at managing other risks and uncertainties, including those listed under “Item 3. Key Information—D. Risk Factors.”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important factors, in addition to the factors described above and in other sections of this annual report on Form 20-F, could adversely impact our business and financial performance. The forward-looking statements contained in this annual report on Form 20-F speak only as of the date of this annual report on Form 20-F and are subject to a number of known and unknown risks, uncertainties and assumptions, including those described under the sections in this annual report on Form 20-F entitled “Item 3. Key Information—D. Risk Factors” and “Item 5. Operating and Financial Review and Prospects” and elsewhere in this annual report on Form 20-F.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forward-looking statements by these cautionary statements. Except as required by law, we undertake no obligation to update publicly any forward-looking statements after the date of this annual report on Form 20-F to conform these statements to actual results or to changes in our expectations.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8540" w:hanging="332"/>
        <w:spacing w:after="0" w:line="500" w:lineRule="auto"/>
        <w:tabs>
          <w:tab w:leader="none" w:pos="22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7780" w:hanging="332"/>
        <w:spacing w:after="0" w:line="500" w:lineRule="auto"/>
        <w:tabs>
          <w:tab w:leader="none" w:pos="23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initial launch-stage company with limited operating history. We expect to incur significant additional losses in the future and may never be able to effectuate our business plan or achieve significant revenues or reach profitability. Therefore, at this stage of our business, potential investors have a high probability of losing their entire investment.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concluded that there is substantial doubt about our ability to continue as a going concern, and the report of our independent registered public accounting firm contains an explanatory paragraph that expresses substantial doubt about our ability to continue as a “going concern”, which could prevent us from obtaining new financing on reasonable terms or at all.</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additional financing to fund our future operations. If we are unable to obtain such financing, we may be unable to complete the development and commercialization of our technology and our products and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execute our business models.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If we successfully commercially launch the Nanox System, and it does not achieve widespread market acceptance, we will not be able to generate the revenue necessary to support our business.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received clearance from the FDA to market the Nanox.ARC and Nanox.ARC X (including the Nanox.CLOUD), and our Nanox AI software solutions have received FDA 510(k) clearances for specified indications, the products and services are not yet widely approved for third-party payor coverage or reimbursement.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third parties to manufacture the Nanox.ARC and the Nanox.ARC X and to supply certain component parts.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direct sales force, we rely on third-party distributors and partners to deploy and commercialize the Nanox.ARC and Nanox.ARC X, and any failure by distributors to perform their deployment, sales, or operational obligations, or any termination of or dispute under these arrangements, could materially delay our commercialization timelines, reduce our revenue, and adversely affect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variability, or yield challenges in our proprietary digital X-ray source and tubes could impair product performance, trigger regulatory actions, and limit our ability to scale across our business models.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Nanox.ARC or Nanox.ARC X exhibit instability or performance degradation over time or across units, including issues related to our MEMS-based X-ray source, we could face regulatory scrutiny, increased costs, reputational harm, and reduced revenues across our business models.</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may never demonstrate the feasibility of our digital X-ray source technology, including both the micro-electro-mechanical systems (“MEMs”) X-ray chips and tubes, for commercial applications.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our business models depend on the successful commercial application of the Nanox.CLOUD, which is subject to numerous risks and uncertainties.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our teleradiology services and AI solutions, as well as the other imaging offerings that we are developing will depend in large part on referrals from physicians.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is subject to technological change, which may result in new products or solutions that are superior to our technology or other future products we may bring to market from time to time.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warranty claims and professional malpractice liability claims that could be expensive, divert management’s attention and harm our business reputation and financial results.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key members of our executive management team.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mishandling or the perceived mishandling of sensitive information, or the occurrence of data security breaches, could harm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impacted by changes in general economic conditions.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future products for an adequate amount of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our technology or our future products or the sale or use of our future products infringe the patents or other intellectual property rights of third parties could result in costly litigation or could require substantial time and money to resolve, even if litigation is avoided.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operations are subject to extensive government regulation and oversight both in the United States and abroad, and our failure to comply with applicable requirements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or approvals for our future products, and failure to timely obtain necessary clearances or approvals for our future products would adversely affect our ability to grow our business.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post-marketing regulatory requirements could subject us to enforcement actions, including substantial penalties, and might require us to recall or withdraw a product from the market.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relating to data protection, or any actual or perceived failure by us to comply with such laws and regulations or our privacy policies, could materially and adversely affect our business or could lead to government enforcement actions and significant penalties against us, and adversely impact our operating results.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and maintain international regulatory registrations, clearances or approvals for our products, we will be unable to market and sell our products outside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Ordinary Shares</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you may lose all or part of your investment.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exempt from certain requirements that apply to domestic issuers and we are permitted to follow certain home country corporate governance practices instead of applicable SEC and Nasdaq requirements, which may result in less protection than is accorded to shareholders under rules applicable to domestic issuers.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eligible for future sale may adversely affect the market for our ordinary shares and the issuance of additional ordinary shares as a result of the exercise of our outstanding warrants and options will dilute the percentage ownership of our other shareholders.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effective as of December 31, 2025. If we fail to maintain an effective system of internal control over financial reporting, we may not be able to accurately report our financial results or prevent fraud.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9" w:lineRule="exact"/>
        <w:rPr>
          <w:sz w:val="20"/>
          <w:szCs w:val="20"/>
          <w:color w:val="auto"/>
        </w:rPr>
      </w:pPr>
    </w:p>
    <w:p>
      <w:pPr>
        <w:ind w:left="5580" w:right="5480" w:hanging="5248"/>
        <w:spacing w:after="0" w:line="541" w:lineRule="auto"/>
        <w:tabs>
          <w:tab w:leader="none" w:pos="65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Israel could materially and adversely affect our business.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initial launch-stage company with limited operating history. We expect to incur significant additional losses in the future and may never be able to effectuate our business plan or achieve significant revenue or reach profitability. Therefore, at this stage of our business, potential investors have a high probability of losing their entire investment.</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an initial launch-stage company, and are subject to all of the risks inherent in the establishment of a new business enterprise. While we began to generate revenue in the year ended December 31, 2021 through the sale of teleradiology services and the sale of AI solutions, following the completion of the acquisitions of Zebra Medical Vision Ltd. (“Zebra”) (and subsequently changed its name to Nano-X AI Ltd (“Nanox AI”)), USARAD Holdings, Inc., a Delaware corporation (“USARAD”) and the assets of MDWEB, LLC (“MDWEB”) in November 2021, we have a limited operating history and an unproven business plan upon which investors may evaluate our prospects. Our ability to scale these businesses depends on factors outside our control, including commercial adoption of AI decision-support tools by providers and payors, and sustained access to qualified, credentialed radiologists to read studies across multiple jurisdictions. We have obtained FDA clearances for the Nanox.ARC and Nanox.ARC X (including the Nanox.CLOUD), a multi-source 3D digital tomosynthesis system, for certain specified uses, and have produced dozens of systems to date. We deployed the Nanox System at several medical imaging and diagnostic testing centers across various states in the United States and in other countries, for demo, commercial, and clinical use. As we are in the initial stages of the commercial deployment of the Nanox System, we are still assessing and validating our Subscription Model, alongside the CapEx Model, both through direct and indirect sales. In addition, clinical operations of the Nanox System are expected to begin in additional sites, subject to certifications from the requisite regulatory authorities. We engaged Dagesh P.K. Ltd. (“Dagesh”) to manufacture these first Nanox.ARC units in Israel on a purchase order basis, which are being used for the initial global deployment, among other purposes. Additionally, we have recently entered into a multi-year Volume Supply Agreement with Fabrinet, a leading global electronics manufacturing services provider from Singapore, to support the scalable manufacturing of Nanox.ARC X systems. Even if we are able to manufacture the Nanox.ARC and Nanox.ARC X we may not be able to do so at the low costs needed to support our business models, including the Subscription Model. We may not receive, or may be delayed in receiving, the necessary approval or clearance for our future products. We have a commercial arrangement for the licensing of our X-ray source but we have not entered into any arrangement under the Licensing Model.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even if our technology becomes commercially viable, our business models may not generate sufficient revenue necessary to support our business. We may never produce or deploy a sufficient number of Nanox Systems to validate the MSaaS-based medical imaging market, which may cause our business to fail. The Subscription Model is based on selling the Nanox System at low cost or no cost using a pay-per-scan pricing structure, which is pioneering for medical imaging companies and is subject to numerous risks. The medical imaging industry is also highly competitive and our technology, products, services or business models may not achieve widespread market acceptance. If we are unable to address any issues mentioned above, or encounter other problems, expenses, difficulties, complications, and delays in connection with the starting and expansion of our business, our entire business may fail, in which case you may lose your entire investment.</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history of net losses and negative cash flow from operations since inception and we expect such losses and negative cash flows from operations to continue in the foreseeable future. As of December 31, 2025, 2024, and 2023, we had working capital of approximately $50.0 million, $64.7 million, and $73.1 million, respectively, and shareholders’ equity of approximately $139.7 million, $189.1 million and $195.5 million, respectively. For the years ended December 31, 2025, 2024, and 2023, we incurred net losses of approximately $75.0 million, $53.5 million and $60.8 million, respectively. As of December 31, 2025, 2024 and 2023, we had an accumulated deficit of approximately $448.8 million, $373.7 million and $320.2 million, respectively, and negative cash flow from operations of $40.8 million, $36.6 million and $44.8 million for the years ended December 31, 2025, 2024, and 2023, respectively. We anticipate our losses will continue to increase from current levels because we expect to incur additional costs related to developing our business, including commercialization of our products, research and development costs, manufacturing costs, employee-related costs, costs related to acquisitions, costs of complying with government regulations, intellectual property development and prosecution costs, service and training costs, sales and marketing expenses, capital expenditures, general and administrative expenses (including litigation costs), and costs associated with operating as a public company.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generate significant revenue from our operations and, ultimately, achieve profitability will depend on, among others, whether we can complete the development and commercialization of our products and our services, including our X-ray source technology, the Nanox.ARC, Nanox.ARC X, and the Nanox.CLOUD, whether we can manufacture the Nanox.ARC and Nanox.ARC X on a commercial scale in such amounts and at such costs as we anticipate, and whether we can achieve market acceptance of our products, services and business models. We may never generate significant revenue or operate on a profitable basis. Even if we achieve profitability, we may not be able to sustain 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Management has concluded that there is substantial doubt about our ability to continue as a going concern, and the report of our independent registered public accounting firm contains an explanatory paragraph that expresses substantial doubt about our ability to continue as a “going concern”, which could prevent us from obtaining new financing on reasonable terms or at all.</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we have had recurring losses and negative cash flows from operating activities, substantial doubt exists regarding our ability to remain as a going concern at the same level at which we are currently performing without taking reduction or efficiency steps. Accordingly, our independent auditors’ report on our financial statements that appear in this Annual Report includes an explanatory paragraph that expresses substantial doubt about our ability to continue as a “going concern”. The doubts regarding our potential ability to continue as a going concern may adversely affect our ability to obtain new financing on reasonable terms or at all. Further financial statements may include an explanatory paragraph with respect to our ability to continue as a going concern. There can be no assurance that we will succeed in generating sufficient revenues from our product sales to continue our operations as a going concern. If funds are not available to us, we may be required to delay, reduce the scope of, or eliminate research or development plans for, or commercialization efforts with respect to our products. This raises substantial doubts about our ability to continue as a going concern.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obtain additional financing to fund our future operations. If we are unable to obtain such financing, we may be unable to complete the development and commercialization of our technology and our products and services.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Our net losses were $75.0 million, $53.5 million and $60.8 million for the years ended December 31, 2025, 2024 and 2023, respectively. In addition, significant resources were invested in the development of our X-ray source technology prior to us acquiring the technology. We anticipate that our future cash requirements will continue to be significant. While we generated revenue in the years ended December 31, 2023, 2024 and 2025 we expect that we will need to obtain additional financing to implement our business plan as described in this annual report on Form 20-F, such as the financings we consummated with a single institutional investor in July of 2023, and with a</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separate institutional investor in November of 2025, and the utilization of our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dated as of June 7, 2024 (the “Sales Agreement”) with Cantor Fitzgerald &amp; Co. and Mizuho Securities USA LLC relating to the issuance and sale from time to time of our ordinary shares, an aggregate offering price of up to $100 million from time to time through the Agents pursuant to the sales agreement. As of December 31, 2025 we have raised $46.1 million under the Sales Agreement. We will need to raise additional funds in order to complete the manufacture, shipping, installation and deployment of a significant number of Nanox System units, as well as to support the ongoing development of the Nanox.ARC, the Nanox.ARC X, and the Nanox.CLOUD. Such financings could include equity financing, which may be dilutive to shareholders, or debt financing, which would likely restrict our ability to borrow from other sources. In addition, such securities may contain rights, preferences or privileges senior to those of the rights of our current shareholders. Further, geopolitics tensions, inflation and rising interest rates across the global economy have resulted in, and may continue to result in, significant disruption of global financial markets, which may reduce our ability to access capital and may result in increased financing costs. Additional funds may not be available when we need them, on terms attractive to us, or at all. If adequate funds are not available on a timely basis, we may be required to curtail the development of our technology, products or services,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capital intensive, high-cost industry that requires significant amounts of capital to fund operations. We incur capital expenditures to, among other things, manufacture and commercially deploy our Nanox Systems and products. To the extent we are unable to generate sufficient cash from our operations or we are unable to structure or obtain financing, we may be unable to meet our capital expenditure requirements to support the maintenance and continued growth of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the Nanox System business models.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pursuing three simultaneous business models to maximize the commercial potential of our X-ray source technology, each of which requires significant time and resources. The three business models we are pursuing are the Subscription Model, the CapEx Model, and the Licensing for OEM Model. We are a company with limited operating history and we may not have the necessary resources, expertise and experience to successfully execute any of our business models on a global scale, such as obtaining the necessary approvals or clearances from the regulatory agencies of our target markets. Our ability to execute our models is dependent on a number of factors, including the ability of our senior management team to execute our models, our ability to engage local operators and integrators in different geographic regions, our ability to begin or maintain our pace of product development, manufacturing and commercialization, our ability to meet the changing needs of the medical imaging market, and the ability of our employees to perform at a high-level. If we are unable to execute our models, if our models do not drive the growth that we anticipate, or if our market opportunity is not as large as we have estimated, it could adversely affect our business and our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referrals for the use of the Nanox System are dependent on the education of physicians for the use of our devices. We use a combination of pilot sites, training, and clinical education efforts to help educate physicians and other customers, however these efforts may be unsuccessful and not result in additional uses of our devices. These aspects of our business will require us to hire additional experienced healthcare business-development professionals who will be charged with raising awareness of the Nanox System among physicians, hospitals, urgent care operators, and large health systems throughout the U.S., and which may be costly, and if unsuccessful, may adversely affect our financial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If we successfully complete the commercial launch of the Nanox System, and it does not achieve widespread market acceptance, we will not be able to generate the revenue necessary to support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and while we began the marketing of our AI solutions, teleradiology, and healthcare IT services, following the acquisitions in November 2021, and November 2025, we have limited history of marketing our X-ray source technology and the Nanox System. We may fail to generate significant interest in our X-ray source technology or the Nanox System or the imaging products using our technology, or any other product we may develop. These and other factors, including the following, may affect the rate and level of market acceptance:</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service, training, sales and marketing efforts of us, and our partners such as the local partners;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medical professionals and patients of the convenience, safety, efficiency and benefits of the Nanox System or products using our technology, compared to competing methods of medical imaging, such as the time and skill required to read the tomographic images produced by the Nanox.ARC and Nanox.ARC X, and our X-ray source;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from certain industry leaders, which may limit our ability to promote the Nanox System and to penetrate into the medical imaging market in certain geographical areas;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established medical imaging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market participants to accept the MSaaS model;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the war between Israel and Hamas, the ongoing military conflict between Russia and Ukraine, the global response to it and any negative impact on the global economy and capital markets resulting from the conflict or any other geopolitical tensions, tariffs imposed by the new U.S. administration and other countries, or inflation. In addition, there is current uncertainty about the future relationship between the United States and other countries with respect to trade policies, taxes, government regulations, and tariffs and we cannot predict whether, and to what extent, trade policies of the U.S. or other countries will change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competing products, and the service, training, sales and marketing initiatives of such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blog coverage, social media coverage, and other publicity and public relations factors by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financing or other resources to successfully develop and commercialize our technology and implement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commitment and support that we receive from our partners, such as local operators, cloud storage providers and medical AI software providers, as well as medical professionals such as radiologists;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determinations and reimbursement levels of third party payors.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adoption of our AI solutions depends on successful integration with customers’ environments and clinical workflows, validation of algorithm performance on local populations, and, in certain cases, use by clinicians subject to evolving institutional AI governance policies. Our teleradiology services depend on customer retention and the availability and engagement of independent radiologists with the appropriate subspecialty, state and, where applicable, country-specific credentials.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Depending on the approved clinical indication, the Nanox System will be competing with existing and future imaging products and similar offerings. The technology underlying our X-ray source and the Nanox System may be perceived as inferior or inaccurate and patients may be unwilling to undergo medical screening using the Nanox.ARC or Nanox.ARC X, or other products using our technology. Moreover, patients and medical professionals may be unwilling to depart from the current medical imaging technology, clinical workflow and current standard of care. Medical professionals tend to be slow to change their medical diagnostic practices because of perceived liability risks arising from the use of new technology or products, and they may not recommend medical imaging using the Nanox.ARC, or Nanox.ARC X, or other products using our technology until there is long-term clinical evidence to convince them to alter or modify their existing imaging methods. Our efforts to educate patients, radiologists and other members of the medical community on the benefits of our products require significant resources and may not be successful. Our efforts to educate the market may require more resources than are required by conventional technologies marketed by our competitors. In particular, gaining market acceptance for our products could be challenging. Moreover, in the event that the Nanox System or other products using our technology are the subject of guidelines, clinical studies or scientific publications that are unfavorable or damaging, or otherwise call into question their benefits, we may have difficulty in convincing market participants to adopt our products. In addition, medical professionals, patients, providers of medical imaging services and third-party payors may not adopt or reimburse the use of the Nanox System in the near term or at all. If we are unable to achieve or maintain an adequate level of market acceptance, we may not generate significant revenue or become profitable and our business, financial condition, results of operations and prospects would be significantly harmed.</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Although we received clearance from the FDA to market the Nanox.ARC and Nanox.ARC X (including the Nanox.CLOUD), and our Nanox AI software solutions have received FDA 510(k) clearances for specified indications, the products and services are not yet widely approved for third-party payor coverage or reimbursement. If in the future we are widely approved for and are otherwise able to commercialize it, but are unable to obtain adequate reimbursement or insurance coverage from third-party payors, we may not be able to generate significant revenue, in which case we may need to obtain additional financing.</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received clearance from the FDA to market the Nanox.ARC and Nanox.ARC X (including the Nanox.CLOUD), the device is not yet widely approved for third-party payor coverage or reimbursement. Coding and coverage determinations as well as reimbursement levels and conditions are important to the commercial success of medical imaging hardware, AI-enabled software-as-a-medical-device and professional teleradiology interpretation services. There is no assurance of favorable coverage determinations or consistent payment levels for AI-based software tools, population-health deployments, or second-opinion reads, and payors may view AI outputs as non-reimbursable adjunctive services. In teleradiology, downward pricing pressure from hospitals, imaging centers and large national providers could compress margins or result in contract losses. The future availability of insurance coverage and reimbursement for newly approved medical devices is highly uncertain, and our future business will be greatly impacted by the level of reimbursement provided by third-party payors. In the United States, third-party payors decide which imaging products and services they will cover, how much they will pay and whether they will continue reimbursement. Third-party payors may not cover or provide adequate reimbursement for the Nanox System or the imaging services using the Nanox System, assuming we are able to fully develop and obtain all regulatory approvals and clearances to market it in geographies in addition to the United States. To date, we have initiated discussions with third-party payors regarding the coding, coverage or reimbursement for imaging services using the Nanox System. Accordingly, unless government and other third-party payors provide coverage and reimbursement for our services, patients and healthcare providers may choose not to use them, which would cause investors to lose their entire investment. A primary trend in the United States healthcare industry and elsewhere is cost containment. Government authorities and other third-party payors have attempted to control costs by limiting coverage and the amount of reimbursement for particular products and services. Reimbursement may not be available, or continue to be available, for the Nanox System or the imaging services using the Nanox System, other products or systems using our X-ray source technology, our AI solutions, teleradiology services, the Nanox.MARKETPLACE or any other products or services we may develop or offer in the future, or even if reimbursement is available, such reimbursement may not be adequate. We also will be subject to foreign reimbursement policies in the international markets we expect to enter. Decisions by health insurers or other third-party payors in these markets not to cover, or to discontinue reimbursing, our products could materially and adversely affect our business. If such decisions are made, they could also have a negative impact on our ability to generate revenues, in which case we may need to obtain additional financing.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third parties to manufacture the Nanox.ARC and the Nanox.ARC X and to supply certain component parts. Because we rely on third-party manufacturers and suppliers, any delays, disruptions or failures in their production or supply chain could delay the production of the Nanox.ARC and the Nanox.ARC X, which could in turn delay our ability to commercialize and deliver such systems, result in increased costs, quality or compliance issues, or otherwise materially harm our business.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continued to engage third-party manufacturers and suppliers for the commercial production of our digital X-ray tubes for use in the Nanox.ARC and the Nanox.ARC X, following receipt of clearance from the FDA in 2023, 2024, 2025, and 2026. We intend to continue engaging third-party manufacturers and suppliers, following additional clearances and approvals by similar regulatory authorities in other jurisdictions, based on, among other things, cost effectiveness. We are currently developing both ceramic and glass-based digital X-ray tubes for use in the Nanox.ARC and the Nanox.ARC X. We are working with third parties as well as producing digital ceramic tubes at our Korean facility, which is currently our primary manufacturer and supplier for our digital ceramic tubes. Recently we adopted a restructuring plan intended to better align our manufacturing cost structure with our long-term financial model. As part of the restructuring, we will close our chip manufacturing line in South Korea, downsize our fabrication facilities, and transfer certain production activities to third-party international manufacturing partners. Following these changes, we intend to focus our operations in South Korea on research and development (R&amp;D) and tube production activities that support the Nanox.ARC platform. The restructuring is expected to be substantially completed during fiscal year of 2026. As a result of the restructuring plan, we will be more dependent on our third-party manufacturers and suppliers.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previously entered into manufacturing agreement for the manufacturing and supply of certain components of the Nanox.ARC. We have recently entered into a multi-year Volume Supply Agreement with Fabrinet, a leading global electronics manufacturing services provider from Singapore, to support the scalable manufacturing of Nanox.ARC X systems.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September 2023, we entered into a manufacture and supply agreement with Varex Imaging Corporation from Salt Lake City, Utah (“Varex”), under which Varex will supply X-ray tubes utilizing the Nanox digital X-ray emitter for the Nanox.ARC. The agreement was entered into after Varex completed a preliminary assessment of our digital X-ray emitter. Under the agreement, we may order X-ray tubes from Varex for use in our Nanox.ARC units.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December 2024, we entered into a development and purchase agreement with SKAN-X Radiology Devices SRL (“CEI”), an Italian manufacturer of X-ray tubes. Under the agreement, CEI will manufacture X-ray tubes using semiconductor chips provided by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in the final phase of the development under our original Research and Development Agreement with CSEM (a Swiss technology innovation center with MEMS Foundry Services). We intend to transition to a production supply agreement and going forward will issue CSEM Purchase Orders as needed to supplement our chip supply needs.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further expand our business in connection with the commercialization of our technology, we expect to seek to engage several additional manufacturers of the Nanox.ARC and the Nanox.ARC X. If any of our current or future manufacturers or suppliers experience delays in production, breach their agreements, are unable to meet their contractual or quality requirements, or become unwilling to perform for any reason, our own production of the Nanox.ARC and the Nanox.ARC X may be delayed or interrupted. In addition, we may be unable, or may be unable in a timely manner, to locate alternative acceptable manufacturers or suppliers and enter into favorable agreements with them.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dependence on third-party manufacturers and suppliers involves a number of risks,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capacity or delays in meeting our demand, which could in turn delay our ability to commercialize and deliver the Nanox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manufacturing yields, inferior quality and excessive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products that meet the agreed upon specifications;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 adequate supply of materials or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the relevant regulatory requirements for the manufacturing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products supplied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comply with our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potential misappropriation of our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rely on third parties to supply the raw materials and certain component parts. Disruptions of our relationships with such suppliers could negatively impact our production for an extended period of time. Any inability to acquire sufficient quantities of any raw materials or components in a timely manner from these third-party suppliers could have a material negative impact on our business. We may need to enhance or redesign our MEMs X-ray chip to generate licensing revenue from it or for it to be functional for certain medical imaging applications.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we change the manufacturer of a critical component of our products, we will be required to verify that the new manufacturer maintains facilities, procedures and operations that comply with our quality and applicable regulatory requirements, which could further impede our ability to manufacture our products in a timely manner.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Transitioning to a new supplier could be time-consuming and expensive, may result in interruptions in our operations and product delivery, could affect the performance specifications of our products or could require that we modify the design of those systems. If the change in manufacturer results in a significant change to any product, a new 510(k) clearance or approval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 See “—Risks Related to Government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development or manufacturing problems and higher costs, or delays that could limit our revenue, if any, or increase our losses.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Developing manufacturing procedures for new products requires developing specific production processes for those products. Developing such processes could be time consuming, and any unexpected difficulty in doing so can delay the deployment of the Nanox System. Moreover, difficulties associated with adapting our technology and product design to the proprietary process technology and design rules of outside manufacturers can lead to reduced yields. Since low yields may result from either design or process technology failures, yield problems may not be effectively determined or resolved until an actual product exists that can be analyzed and tested to identify process sensitivities relating to the design rules that are used. As a result, yield problems may not be identified until well into the production process, and resolution of yield problems may require cooperation between our manufacturers and us. This risk could be compounded by the offshore location of certain of our manufacturers, increasing the effort and time required to identify, communicate and resolve manufacturing yield problems. Manufacturing defects that we do not discover during the manufacturing or testing process may lead to costly product recalls. These risks may lead to increased costs or delayed product delivery, which would harm our profitability and customer relationships. Furthermore, our, our manufacturers’ or our suppliers’ production processes and assembly methods may have to change to accommodate any significant, future expansion of our manufacturing capacity, which may increase the manufacturing costs, delay production of our products, reduce our product margin, require supplemental filings with the FDA or other regulatory authorities, any of which may adversely impact our business. If we are unable to keep up with demand for our products by successfully manufacturing and shipping our products in a timely manner, our revenue could be impaired, and market acceptance for our products could be adversely affected.</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addition to our direct sales force, we rely on third-party distributors and partners to deploy and commercialize the Nanox.ARC and Nanox.ARC X, and any failure by distributors to perform their deployment, sales, or operational obligations, or any termination of or dispute under these arrangements, could materially delay our commercialization timelines, reduce our revenue, and adversely affect our business, financial condition, and results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commercialization strategy for the Nanox.ARC and Nanox.ARC X depends significantly on the performance of third-party distributors, channel partners, and collaborative counterparties. As of the date of this Annual Report, in the United States, we have executed distribution agreements for approximately 360 CapEx systems in the U.S. over the next two to three years, with timing dependent on regulatory, operational, and market factors. In Europe, we rely on local distributors, including in Romania, the Czech Republic, Greece, and France, who are responsible for overseeing sales and market development, promoting the equipment, engaging with key opinion leaders, generating leads, handling local regulatory approvals, importation, installation, and after-sales support. In addition, we have initiated the Nanox Imaging Network initiative, a limited proof-of-concept under which currently our partner is responsible for site operations, personnel, regulatory permits, and local engagement.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Most of the Nanox.ARC systems currently deployed have not yet begun to generate revenues, and the timing and extent of revenue recognition will depend on the progression of deployments, system activations, and the performance of our distribution partners.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face a number of specific risks related to our dependence on these third parties, including: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deployment commitments. Our distributors and channel partners may fail to deploy or sell the number of Nanox.ARC or Nanox.ARC X systems specified under their respective agreements, whether due to insufficient demand generation, lack of sales resources, competing priorities, or inability to secure customer commitments. Many of our distribution agreements have not yet resulted in revenue, and the anticipated volumes reflect expected, rather than committed, commercial activity.</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non-performance. Our distributors or collaborative partners may default on their minimum purchase or payment obligations, or otherwise breach their contractual obligations, and it may be time-consuming and difficult to enforce such obligations in various jurisdictions.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control over third-party activities. We do not control, and have limited visibility into, the commercial activities, resource allocation, staffing, operational capabilities, or strategic priorities of our distributors and channel partners. A distributor may devote insufficient resources to the promotion and deployment of the Nanox System, may move forward with competing products, or may experience business combinations or changes in strategy that adversely affect its willingness or ability to perform.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operational dependencies. In some markets, our distributors are responsible for obtaining local regulatory approvals, import licenses, facility certifications, and other permits. Delays or failures by distributors to secure such approvals could prevent or significantly delay commercial deployment of the Nanox.ARC and Nanox.ARC X in the affected markets.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Our distribution and collaborative arrangements are subject to termination or expiration provisions. If a key distributor or partner terminates its agreement, declines to renew, or allows the agreement to expire, we may face significant gaps in market coverage, and we may be unable to find a replacement distributor on favorable terms or at all within the affected territory.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Imaging Network NIN and network model risks. Our NIN proof-of-concept is at an early and limited deployment phase, and our partner’s performance in site operations, regulatory permits, and local engagement is critical to its success. If our partner or other third party we contract with fail to obtain or maintain required licenses or permits, or if we fail to structure the required framework for the NIN operation, or if site operations do not meet applicable standards, we could face delays, penalties, or forced changes to the model.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risk. A significant portion of our near-term deployment pipeline in the United States is concentrated among a limited number of distribution partners. If any one of these partners underperforms or terminates its relationship with us, the impact on our commercialization efforts and expected revenue could be disproportionate.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occurrence of any of these risks could result in delays in the deployment and commercialization of the Nanox.ARC and Nanox.ARC X, reduced scan volumes under our Subscription Model, loss of anticipated CapEx revenue, slower market penetration, diminished competitive positioning, and an adverse effect on our reputation with customers, healthcare professionals, and third-party payors. Given that we are in the initial stages of commercial deployment, with an unproven business plan and limited operating history, any significant disruption to our distribution network could materially impair our ability to achieve the scale and market presence necessary to sustain our business. These consequences could, individually or in the aggregate, have a material adverse effect on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variability, or yield challenges in our proprietary digital X-ray source and tubes could impair product performance, trigger regulatory actions, and limit our ability to scale across our business models.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X-ray source is a MEMS-based semiconductor cathode packaged within a customized X-ray tube and differentiated from legacy thermionic tubes. Scaling production while maintaining consistency in emission characteristics and long-term stability is technically complex and depends on robust process controls and quality management. We manufacture MEMS X-ray chips in our Korean facility and are qualifying additional chip capacity with third parties; we are also developing both ceramic and glass-based digital X-ray tubes and have entered into agreements with suppliers, to manufacture tubes incorporating our emitter technology. Recently we adopted a restructuring plan intended to better align our manufacturing cost structure with our long-term financial model. As part of the restructuring, we will close our chip manufacturing line in South Korea, downsize our fabrication facilities, and transfer certain production activities to third-party international manufacturing partners. Following these changes, we intend to focus our operations in South Korea on research and development (R&amp;D) and tube production activities that support the Nanox.ARC platform. The restructuring is expected to be substantially completed during fiscal year of 2026.</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Variability in chip fabrication, tube assembly, or supplier processes can reduce yields, degrade lifetime or image performance over time, and increase warranty and service costs. If production lots fail to meet specifications, or if field units exhibit premature degradation, we could face shipment holds, rework, or replacements, which would delay deployments and increase costs.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dependence on multiple suppliers and manufacturing partners for critical MEMS X-ray chips and tube components increases our exposure to capacity, quality, and compliance risks. We rely on internal and external manufacturing for chips and tubes, and we are working with additional third parties to secure capacity. Transitioning to or qualifying new suppliers can be time-consuming and expensive and may require design modifications, renewed validation, or regulatory notifications. Supplier shortfalls, quality escapes, or disruptions, whether due to process drift, equipment issues, geopolitical events, or workforce limitations, could impair tube quality or consistency, constrain output, and delay installations. Because tubes are core to system performance and uptime, any quality issues can have outsized commercial impact, particularly under our Subscription, CapEx, and prospective Licensing (OEM) models where unit reliability influences scan volumes, customer satisfaction, and royalty realizations.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Tube quality control failures could result in mandatory field actions, regulatory enforcement, or loss of marketing authorizations, and could materially damage our reputation and financial results. The Nanox.ARC and the Nanox.ARC X and their tubes are subject to ongoing FDA and international post-market requirements, including QSR and Electronic Product Radiation Control provisions, and our CE mark for the Nanox.ARC depends on continued conformity with EU MDR and successful Notified Body audits of our technical documentation and quality system. If tube defects or performance degradation lead to reportable events, we may be required to initiate field corrections or recalls and could be subject to inspections, warning letters, import holds, or other enforcement. Significant or systemic issues could jeopardize certifications or require costly remediation, redesign, or revalidation. Any such actions can erode customer confidence, increase warranty and service liabilities, reduce system uptime, and impair our ability to scale deployments or to enter into and monetize OEM licensing arrangements, thereby adversely affecting our revenue and margins across our business models.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Nanox.ARC and Nanox.ARC X fail to integrate across diverse clinical settings or with existing healthcare IT infrastructure, our commercialization efforts could be delayed or impaired.</w:t>
      </w:r>
    </w:p>
    <w:p>
      <w:pPr>
        <w:spacing w:after="0" w:line="15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Nanox.ARC and Nanox.ARC X are intended for use in professional healthcare facilities, hospitals, or radiological environments and have received FDA 510(k) clearances for general use indications on adult patients, including musculoskeletal, pulmonary, intra-abdominal, and paranasal sinus indications, adjunctive to conventional radiography. However, real-world integration can vary by site due to differences in facility infrastructure, network conditions, and IT configurations, and because elements of our system rely on cloud-based software. These factors can affect workflow, throughput and connectivity. Even where we have demonstrated compatibility, implementations can be complex, time-consuming, and costly for customers and collaborators, and may require additional validation, site-specific testing, or workflow changes that slow adoption. If the Nanox.ARC or Nanox.ARC X do not integrate consistently across deployment environments, or if we encounter extended validation cycles, we could face delays in installations, lost sales opportunities, or pressure to discount pricing to offset perceived integration risk.</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Integration with third-party systems and legacy infrastructure presents interoperability, workflow, and cybersecurity risks that we do not fully control, including site infrastructure, bandwidth and network conditions, security controls, and legacy system configurations. These differences can affect image acquisition and routing, throughput, connectivity, and perceived image quality, and may necessitate site-specific validation, workflow redesign, and extended change-management to satisfy local IT policies. Our offering includes cloud-based software integrated with the Nanox.ARC and Nanox.ARC X, and our commercialization models contemplate working alongside customer IT networks and third-party systems. Interoperability challenges or misconfigurations by third parties can impair system availability or performance and disrupt workflows, imaging archive connectivity, or downstream reading and reporting processes. In some jurisdictions under our CapEx Model, customers may contract directly with third-party cloud providers instead of using Nanox.CLOUD, which adds further variability and increases the risk of misconfiguration or sub-optimal performance outside our direct control. Outages, security incidents, or improper implementation by customers or third parties may be attributed to us, resulting in reputational harm, remediation costs, service credits or other concessions, and could impede broader adoption of our systems. If implementations require greater-than-expected customer IT effort, prolonged testing, or custom interfaces, installations may be delayed, support costs may increase, or customers may defer or cancel purchases. These outcomes could negatively impact our commercialization timelines and margins.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Integrations with third-party systems create interoperability, workflow, and cybersecurity exposures that we may be blamed for even when the root cause lies with others. If outages, vulnerabilities, or integration failures occur, customers may attribute these problems to us, leading to dissatisfaction, warranty claims, remediation expense, or lost sales, all of the above could have a material adverse effect on our business results, cash flows, financial condition, or prospects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ongoing regulatory and data protection obligations; performance or integration issues could trigger post-market actions, threaten certifications, or limit market access. Following FDA clearance and CE marking, we remain subject to pervasive post-market regulatory requirements, including Quality System Regulation (QSR), medical device reporting, complaint handling, corrective and preventive actions, and, where required, post-market surveillance. Our CE mark is conditioned on continued conformity assessment, including periodic review of our quality system and manufacturing sites by our Notified Body. Integration or performance problems that lead to adverse events, reportable malfunctions, or cybersecurity vulnerabilities may necessitate field corrective actions or recalls, could result in FDA or foreign enforcement, and could jeopardize our CE mark or other country-specific authorizations. Additionally, data protection, localization, and electronic product radiation control rules may impose obligations on both us and our ecosystem partners; failures by us or by third parties could restrict deployments, increase compliance costs, or delay revenue. Any of these outcomes could harm our reputation, lead to customer dissatisfaction or warranty claims, reduce sales, and adversely affect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Nanox.ARC or Nanox.ARC X exhibit instability or performance degradation over time or across units, including issues related to our MEMS-based X-ray source, we could face regulatory scrutiny, increased costs, reputational harm, and reduced revenues across our business models.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Nanox.ARC and Nanox.ARC X are multi-source, tomographic, digital X-ray systems that integrate our proprietary MEMS-based semiconductor X-ray emitter packaged in a customized tube and operates together with our cloud software, Nanox.CLOUD. Although we have obtained U.S. FDA 510(k) clearances for general use indications for the Nanox.ARC and Nanox.ARC X, and subsequently received a CE mark for the multi-source Nanox.ARC (including Nanox.CLOUD), real-world stability can vary across sites and over time. Our emitter technology and MEMS X-ray chips are novel and that scaling and maintaining consistency present challenges. Variability in emission characteristics, drift, or other performance changes at the tube or system level could impair image quality, throughput, and uptime. Our limited field deployment history increases the risk that long-term stability issues may not be fully observable until we scale installations. Any such instability, whether intermittent, unit-specific, or cohort-wide, could delay deployments, increase replacement and service costs, and erode customer confidence.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the Nanox.ARC and Nanox.ARC X rely on software, firmware, and cloud connectivity, interactions between hardware and software can affect perceived device stability. Software or firmware updates, changes in cloud services, or defects in our or third-party software could alter timing, calibration, image processing, or connectivity behaviors in ways that appear as hardware faults, and vice versa. Major imaging peers caution that ensuring the utility, compatibility, and performance of cloud and software solutions across devices depends in part on the reliability of third-party vendors and networks; cloud-connected imaging companies have also disclosed that undetected software errors or recalls can arise even after clearance and deployment. If software changes, cloud outages, or misconfigurations introduce instability or require rollbacks, we may need to halt installations, push patches under compressed timelines, or dispatch field service, incurring costs and reputational damage and potentially disrupting clinical operations.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Stability failures can trigger significant post-market and enforcement exposure. Even after receiving 510(k) clearance and the CE mark, we remain subject to ongoing regulatory obligations, including complaint handling, medical device reporting, field corrective actions and recalls, and continued conformity assessments in the EU. Product instability or quality issues can lead to FDA-reportable corrections/removals, recalls, inspections, warning letters, import holds, or changes to clearances. If regulators disagree with our assessment of whether a change or failure is reportable or whether a modification requires a new 510(k), we could be required to cease marketing, implement extensive remediation, or undergo revalidation. Such actions could delay our roadmap, increase costs, and jeopardize market access.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Commercial and financial consequences would be material across our Subscription, CapEx, and Licensing (OEM) models. Under our Subscription and CapEx Models, instability that reduces system uptime or image consistency could depress scan volumes, prompt service credits or warranty claims, extend acceptance testing, and lead to cancellations or discounting. Under a prospective Licensing model, licensees may scale back adoption or delay launches if field performance variability undermines their regulatory filings, quality metrics, or customer satisfaction; disputes could also arise over allocation of root-cause responsibility when instability stems from interactions between our emitter technology and a licensee’s system or software stack. Field failures and quality excursions can lead to recalls, warranty exposures, and reputational harm that depress future orders. Persistent or systemic product stability issues could therefore reduce revenues, margins, and potential royalty streams.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Finally, our limited installed base and the novel nature of our MEMS-based source make it difficult to predict long-term performance under diverse, real-world conditions and workload profiles. As we expand indications, sites, and use cases, we may encounter stability behaviors not seen in earlier testing or pilot deployments. If we cannot promptly detect, diagnose, and remediate emerging patterns at scale, including through design changes, software updates, or supplier process controls, future instability could compound across cohorts and regions, amplifying service costs, delaying revenue recognition, and harming our brand, and causing our business to fail.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may never demonstrate the feasibility of our digital X-ray source technology, including both the MEMs X-ray chips and tubes, for commercial applications.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developed our X-ray source technology, including both the MEMs X-ray chips and tubes, and the Nanox System, which includes the Nanox.ARC, the Nanox.ARC X, and the Nanox.CLOUD. Even though we believe our X-ray source, which we refer to as the Nanox.SOURCE, has achieved commercial applicability, our technology has not been tested over extended periods of time and therefore no meaningful data exists regarding the durability, safety and effectiveness of our X-ray source over extended periods. In addition, there is no precedent for commercialization of technology like ours. The commercial scale production and deployment of the Nanox System will require significant additional service, training, sales, and marketing efforts, and we may not be able to ensure the effectiveness, accuracy, consistency, stability, and safety of the Nanox System in mass production and deployment. Any unanticipated technical or other problems and the possible insufficiency of funds and other resources needed to continue the development and commercialization of our X-ray source, the Nanox.ARC, and the Nanox.ARC X, or the Nanox.CLOUD may result in delays and cause us to incur additional expenses that would increase our losses. If our X-ray source is not commercially feasible now or in the long term, our business may fail.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Two of our business models depend on the successful commercial application of the Nanox.CLOUD, which is subject to numerous risks and uncertainties.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Nanox.ARC, and the Nanox.ARC X, we have also developed, and continue to improve, the Nanox.CLOUD, a companion cloud software designed to deliver scans. The continued development and commercialization of the Nanox.CLOUD has a number of risks,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Nanox.CLOUD requires a considerable investment of technical, financial, and legal resources, which may not be available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be technically viable to integrate the Nanox.CLOUD with the businesses of our potential customers and collaborators, such as local operators, radiologists, cloud storage providers, medical artificial intelligence (“AI”) software providers and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MSaaS model is affected by a variety of factors, including security, reliability, scalability, customization, performance, customer preference, patients’ concerns with entrusting a third party to store and manage their health data, public concerns regarding privacy and compliance with restrictive laws or regulations;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cloud-based service may raise concerns among our customer base, including concerns regarding changes to pricing over time, service availability, information security of a cloud-based solution and access to medical images while offline;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Nanox.CLOUD may be subject to computer system failures, infrastructure failures, cyber-attacks or other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improper implementation or use of the Nanox.CLOUD by third-party cloud-service providers under our CapEx Model could result in customer dissatisfaction and harm our business and reputation;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software errors or flaws in the Nanox.CLOUD could harm our reputation or decrease market acceptance of our business models;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costs than we expected as we expand our cloud-based services;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model hosting and deployment within the Nanox.CLOUD may be impaired by model drift, limitations on continuous learning in regulated environments, or customer requirements to operate on-premises, which could delay or prevent realization of expected benefits.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commercialize the Nanox.CLOUD, our business, financial condition, results of operations and prospects could be negatively impacted.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from our teleradiology services and AI solutions, as well as the other imaging offerings that we are developing, will depend in large part on referrals from physicians.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AI solutions present technical and clinical risks, including algorithmic errors, bias, lack of generalizability across demographics or scanner protocols, and user over-reliance that could contribute to misdiagnosis or delayed diagnosis. Our safeguards, validation studies and post-market monitoring may not fully prevent adverse outcomes, which could result in regulatory actions, product modifications, contractual indemnity obligations, malpractice claims or reduced adoption. The use of AI in healthcare offerings poses certain clinical risks resulting from potential misdiagnosis or misinformation provided from AI applications, diminishing critical judgment, or loss of interpersonal care from clinicians. These deficiencies could undermine the decisions, predictions, or analysis AI applications produce, as well as their adoption, subjecting us to competitive harm, legal liability, including under new proposed legislation regulating AI in jurisdictions such as the EU or new applications of existing data protection, privacy, IP, and other laws; regulatory actions; and reputational harm. In addition, emerging laws and standards for AI transparency, data governance and human oversight may increase compliance costs and constrain product features.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some AI scenarios, such as using AI applications to generate patient data, even if synthetic and non-identifiable, present ethical, privacy, or other social issues, risking reputational harm and/or reduced market demand or acceptance of AI solutions. The safeguards we have designed to promote the ethical implementation of AI may not be sufficient to protect us against negative outcomes.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depend on referrals of patients from unaffiliated physicians and other third parties who have no contractual obligations to refer patients to us for our teleradiology services, as well as the other imaging offerings that we are developing. If these physicians and other third parties do not refer patients to us, our ability to generate revenue from our teleradiology services, as well as the other imaging offerings that we are developing would be adversely affected. Further, we currently derive most of our revenue from our teleradiology services from fees charged for the diagnostic imaging services performed by radiologists. If physicians and other third parties were to discontinue referring patients to our radiologists, our revenue from our teleradiology services would decrease and our financial results could be adversely affected.</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our teleradiology services, any shortage, turnover, suspension, loss of licensure or credentialing, or reduced availability of our independent radiologists could impair service levels, delay reads, increase costs to recruit replacements, or require curtailment of services to customers across facilities.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these risks are amplified by the critical nature of healthcare decisions and the sensitivity of health-related information, and the occurrence of any of the above could have a material adverse effect on our business results, cash flows, financial condition, or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successful manufacturing, service, training, marketing and sale of our X-ray source technology and the related products and services.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core digital X-ray source technology is the basis of our Nanox System. As a result, the success of our business plan is highly dependent on our ability to manufacture and commercialize our X-ray source technology and related products and services, and our failure to do so could cause our business to fail. Successful commercialization of medical imaging devices is a complex and uncertain process, dependent on the efforts of management, manufacturers, local operators, integrators, medical professionals, third-party payors, as well as general economic conditions, among other factors. Any factor that adversely impacts the manufacture and commercialization of our X-ray source technology or related products and services will have a negative impact on our business, financial condition, results of operations and prospects. Some potential factors include:</w:t>
      </w:r>
    </w:p>
    <w:p>
      <w:pPr>
        <w:spacing w:after="0" w:line="187"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by hospitals and clinics, providers of medical imaging services, medical professionals such as radiologists, third-party payors and others in the medical community;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medical imaging technology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expand our service, training, sales, marketing and distribution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and/or maintain necessary regulatory approvals;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our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inability to successfully obtain applicable approval for and subsequently commercialize our X-ray source technology or related products and services, and/or successfully develop and commercialize additional products or any enhancements to the products which we may develop would have a material adverse effect on our business, financial condition, results of operations and prospects.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Products utilizing our technology may need to be approved or cleared by the FDA and similar regulatory agencies worldwide and local regulations by state and country. We may not receive, or may be delayed in receiving, the necessary approval or clearance for our future products, which would adversely affect business, financial condition, results of operations and prospects.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April 28, 2023, we received a 510(k) clearance from the FDA to market the Nanox.ARC (including the Nanox.CLOUD), a multi-source 3D digital tomosynthesis system, as a stationary X-ray system intended to produce tomographic images of the human musculoskeletal system adjunctive to conventional radiography, on adult patients. On December 4, 2024, we received 510(k) clearance from the FDA for the Nanox.ARC,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In the U.S., each state requires regulatory approvals for these uses. The Company received regulatory approvals in some states and intends to pursue the requisite approvals in additional states. On February 25, 2025, we received the CE mark certification to market the multi-source Nanox.ARC system, including the Nanox.CLOUD, its accompanying cloud-based infrastructure. In April 2025, we received a 510(k) clearance from the FDA for the Nanox.ARC X,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In February 2026, we received a 510(k) clearance from the FDA for TAP2D, a new cloud enabled image enhancement capability for the Nanox.ARC and Nanox.ARC X. In the future, we plan to seek additional clearances or approvals from the FDA for additional uses of the currently cleared Nanox System, or for future versions of the Nanox System.</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still in the early stages of commercializing the FDA-cleared Nanox.ARC, Nanox.ARC X, and the Nanox.CLOUD as the Nanox System, and we may also commercialize more future versions of our Nanox System, once cleared or approved. We may need to seek approval from foreign regulatory authorities and local approvals. We believe the digital X-ray source falls within a category of radiology vacuum tubes converting electrical input power into X-rays that utilize the same energy levels, radiation types and throughputs as already existing and approved X-ray tubes applied in a wide range of radiology medical procedures. As a result, we expect that there will be no novel claim or methodology related to the X-ray radiation produced by the digital X-ray source; however, regulatory agencies may not agree. Although we have received FDA clearance for the Nanox.ARC and Nanox.ARC X, efforts to achieve additional governmental clearances and approvals could be costly and time consuming, and we may not be able to obtain any such required clearances or approvals in accordance with our anticipated timeline or in a cost-efficient manner. Any delay or failure to obtain necessary regulatory clearances or approvals could have a material negative impact on our ability to generate revenues. Even if the products containing our technology receive the required regulatory clearance or approval, such products will remain subject to extensive regulatory requirements. If we fail to comply with the regulatory requirements of the FDA and other applicable U.S. and foreign regulatory authorities, or previously unknown problems with any approved commercial products, manufacturers or manufacturing processes are discovered, we could be subject to administrative or judicially imposed sanctions.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cost of compliance with new laws or regulations governing our technology or future products could adversely affect our business, financial condition, results of operations and prospects. New laws or regulations may impose restrictions or obligations on us that could force us to redesign our technology or other future products or services, and may impose restrictions that are not possible or practicable to comply with, which could cause our business to fail. See “—Risks Related to Government Regulation.”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models is subject to numerous risks and uncertainties.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the CapEx model and the Subscription Model will depend on various factors, including:</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and deploying the Nanox System is a complex, multi-step process that depends on factors outside our control, and could cause us to expend significant time and resources prior to earning associated revenues;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cost of the Nanox.ARC and the Nanox.ARC X may be higher than we expect, may increase significantly, or may increase at a higher rate than anticipated, and we may not be able to set or timely adjust our pay-per-scan pricing to compensate for any increased costs;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the Nanox.ARC and the Nanox.ARC X may take longer than we expected, and we may have insufficient manufacturing capacity and experience delays in the manufacturing and deployment of the Nanox System, which would have a negative impact on the timing of our revenues;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and full utilization of the Nanox System may not be fully achieved or may take substantially longer than we expect, and we may not be able to deploy a sufficient number of units of the Nanox System to support our business or to effectively stimulate market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precedent under our MSaaS agreements may not be met;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negotiate or renegotiate any MSaaS agreement on terms attractive to us or to the agreement counterparty;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counterparties may fail to perform their obligations under such agreements;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Nanox System may perform fewer scans per day than our estimates due to a number of factors, including low market acceptance rate, technical failures and downtime, service disruptions, outages or other performance problems, which would have a negative impact on our revenues and our ability to recover costs;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integration and testing of the Nanox System with our potential customers and collaborators can be complex, time-consuming and expensive for them, which may have a negative impact on the timing of our revenues;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potential customers to invest in the required safety infrastructure, including customary X-ray shielding, to allow the Nanox.ARC and the Nanox.ARC X to be safety operated;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Subscription Model, we will be responsible for maintenance of the Nanox System units we deploy, which may be more costly and time-consuming than we expect;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find or retain a sufficient number of radiologists to review the images generated by the Nanox System, especially as we deploy additional Nanox Systems and the volume of scans increases;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our pay-per-scan pricing allocated to our collaborators may not be acceptable to them, either now or in the future, and pricing negotiations with such collaborators may be a complex and time-consuming process;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insurance coverage and the level of reimbursement for the Nanox.ARC and the Nanox.ARC X provided by third-party payors may not be sufficient for our customers;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pay-per-scan pricing may not be sufficient to recover our costs and may not be adjusted in a timely manner, which could negatively affect our revenues or cause our revenues and results of operations to vary significantly from period to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maintaining our target price per scan because we do not control the price charged by local operators and higher prices may adversely affect market acceptance of the Nanox System;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challenge our business models altogether, and impose significant civil, criminal, and administrative penalties, damages, fines, and/or exclusion from government funded healthcare programs, which could adversely affect our revenues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Any of the above factors may negatively affect the implementation of our business models, or cause their failure.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our system in a traditional capital-equipment procurement cycle may be slower or more limited than we expect, which could adversely affect revenue, margins and utilization.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Hospital and imaging-center purchases of capital equipment are often cyclical, require extended budgeting, and depend on factors such as macroeconomic conditions, competing priorities, and third-party reimbursement dynamics. Even at a price point we expect to be lower than many existing imaging systems, prospective customers may defer or reduce purchases, select competing products from entrenched incumbents, or demand discounts that compress margins. If we cannot demonstrate compelling clinical utility, workflow integration and total cost of ownership, or if we face extended evaluation and tender cycles, our sales velocity, pricing and gross margins in the CapEx Model could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cloud vendors and third-party service providers in CapEx deployments introduces operational, security, compliance, cost and reputational risks we cannot fully control.</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CapEx Model, in certain jurisdictions owner-operators may contract directly with third-party cloud vendors for services that would otherwise be delivered through Nanox.CLOUD, and third-party service providers for installation and maintenance. We would have limited control over those third parties, which may be subject to outages, performance issues, cybersecurity incidents, misconfiguration, or non-compliance with healthcare data protection and localization requirements. If a cloud or service partner fails to meet availability, security or regulatory obligations, or incorrectly implements our system, customers may attribute the problem to us. We could face warranty claims, contractual disputes, reputational harm, remediation costs, or lost sales, even where we are not the contracting party, adversely affecting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intensified competition from established imaging companies and emerging technologies; pricing pressure and feature parity could erode our value proposition.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Large, established imaging OEMs have broad portfolios, service organizations, and purchasing relationships. They may reduce prices, enhance features, bundle service or financing, or use their installed base and ecosystem advantages to displace or delay our system sales. Emerging imaging modalities or AI-enabled enhancements to existing systems could also diminish our differentiation. If we cannot sustain clinical performance, reliability, interoperability, and economic benefits versus alternative solutions, our CapEx win rates and realized pricing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Cross-border sales expose us to localization, import/export, installation, and receivables risks that may be difficult and costly to mitigate.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International shipments of medical imaging systems often require country-specific certifications, localization (including language, electrical standards, and data-handling practices), and coordination with local distributors, installers, and service teams. Delays in import permits or customs clearance, evolving trade and tariff regimes, and complexities in foreign contracting, receivables collection and enforcement could impact timing of revenue recognition and cash conversion. Where owner-operators select local service providers, variable quality and uneven regulatory familiarity may increase post-installation risks, adversely affecting our business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product performance, warranty and post-market obligations that could be heightened where third parties provide services we do not control.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Even if our system meets specifications, performance issues stemming from third-party cloud environments or third-party maintenance (including spare parts quality, calibration, and software updates) may result in downtime, image quality complaints, or safety events. We may be required or expected to support remediation or participate in investigations, field corrective actions or recalls, potentially at our cost or with reputational impact. In serious cases, regulators may impose conditions on continued marketing or usage. These risks could adversely affect our business operations and financial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Nanox Imaging Network (NIN) proof-of-concept is early stage, unproven and dependent on third parties; regulatory, reimbursement and operational complexities—particularly in workers’ compensation and other specialized care settings—may prevent us from scaling the model or realizing meaningful revenue.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initiated the Nanox Imaging Network (NIN), a limited proof-of-concept (POC) initiative to evaluate a network-based imaging services model in the United States focused on workers’ compensation and other specialized care segments. The POC is at an early and limited deployment phase, with a small number of sites in various stages of setup. We have not committed to a broader rollout, and there is no assurance that the POC will be expanded, successfully implemented, or result in material revenues. Early pilots may not reflect the operational, regulatory, technology integration or economic outcomes of a larger network, and any favorable or unfavorable site-level results may not be indicative of broader scalability or commercial viability. If the POC underperforms on utilization, throughput, quality, or economics, or if we encounter delays in site readiness, payer onboarding, or IT integration, we may discontinue or materially alter NIN without achieving our objectives.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NIN model divides operational responsibilities between us and third parties we contract with: we are responsible for certain technical and operational elements (including deploying and maintaining Nanox.ARC systems and providing connectivity and service support), while the third parties are responsible for site operations, personnel, regulatory permits and local engagement. We may be adversely affected by third parties’ performance or by factors outside our control, including staffing, credentialing, site workflow, local compliance, payer enrollment, or billing practices. Network-based healthcare services frequently rely on affiliated or contracted entities to deliver care while complying with state-by-state corporate practice of medicine, licensure, and facility rules; telehealth peers disclose that evolving, differing state requirements and interpretations can complicate operations and require continuous compliance monitoring. If we or the third parties we contract with fail to obtain or maintain required licenses or permits, if arrangements are found to violate state restrictions (including corporate practice or fee-splitting prohibitions), or if site operations do not meet applicable standards, we could face delays, penalties, or forced changes to the model. We may also be blamed for service issues beyond our control, damaging our reputation and limiting expansion.</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NIN targets sensitive and specialized care settings, including post-accident and occupational health clinics, nursing homes, and correctional healthcare, each of which presents heightened regulatory and reputational exposure. State and payer rules for these settings can involve additional licensing, facility certification, background checks, security protocols, and documentation standards; telehealth and services companies caution that state-level requirements vary widely and are subject to evolving interpretation by medical boards and attorneys general. Adverse events, security incidents, or operational breakdowns in these environments can attract outsized scrutiny and media attention, harming our brand and relationships with providers and payers. Moreover, our existing obligations as a medical device manufacturer continue post-market, performance or integration issues involving Nanox.ARC in NIN sites could trigger reportable events, field actions, or other regulatory follow-ups, increasing cost and delaying deployments.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Reimbursement dynamics for NIN are uncertain. While certain workers’ compensation arrangements may allow higher per-scan pricing than standard reimbursement frameworks, results depend on state-specific fee schedules, payer policies, and contract terms, all of which vary and can change. Radiology services peers disclose that reimbursement is influenced by state workers’ compensation rules, broader commercial payer trends, and increased enforcement of billing and documentation standards; reductions, denials, post-payment audits, or retroactive adjustments could materially impact revenue and cash flow. If expected pricing advantages do not materialize, or if payer mix, authorization hurdles, or dispute rates are less favorable than anticipated, NIN may not achieve target returns, and site economics may not justify expansion.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 if the POC achieves technical connectivity and initial reimbursement, scaling a network service requires consistent image quality, uptime, data security, and seamless integration with site workflows, all while meeting data protection and privacy obligations.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combination of these factors could cause us to terminate the POC or decide not to scale the model, which would limit our growth opportunities and increase costs without corresponding revenues.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Licensing (OEM) Model depends on identifying, contracting with, and retaining qualified licensees; delays or failures to secure licensees would limit our ability to generate upfront fees and royalty revenue.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Licensing Model, we may license our X-ray source technology to medical imaging device and other X-ray manufacturers, either tailored to their existing systems or for new imaging systems, with an upfront one-time license fee and recurring per-unit royalties. We have not yet entered into licensing agreements. If we cannot timely attract suitable OEM partners on acceptable terms, negotiate appropriate economics and protections, or align on development roadmaps, we may be unable to generate anticipated license fees or establish a recurring royalty base, which would adversely affect our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tailoring our X-ray source to the specific systems of other medical or non medical imaging companies under our Licensing Model, and/or entering into licensing agreements on terms favorable to us.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our proposed Licensing Model, we expect to be engaged to tailor our X-ray source to other medical or non medical imaging companies’ or manufacturers’ of other X-ray devices specific systems to replace the legacy X-ray source or to license our X-ray source technology to them to develop new types of imaging systems, and we expect to receive a one-time, non-recurring licensing fee upfront, as well as recurring royalty payments for each imaging system sold by such companies. We expect customization to be a complex and multi-step process that varies for each project, which will require significant research and testing activities. We may also not be able to demonstrate the feasibility, functionality or safety of our technology in other medical imaging systems, meet the potential licensees’ design and manufacturing requirements, or satisfy their marketing and product needs. In addition, we may not be successful in entering into licensing agreements with favorable terms as a result of a numbers of factors, many of which are outside of our control, including willingness of, and the resources available to, other medical and non-medical imaging companies to in-license our novel X-ray source technology, our ability to agree with a potential partner on the value of our technology, or on the related terms, as well as the availability of other technologies at lower cost or other alternative technologies at the time. We have not entered into any licensing agreements to date. Any of the above factors may negatively affect the implementation of our Licensing Model, or cause our Licensing Model to fail.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accurately calculate, audit, and collect royalties depends on licensee reporting and contract enforceability, particularly across multiple jurisdictions.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Royalty revenues under the Licensing Model will depend on complete and timely reporting by licensees of units shipped, transfer prices and other contractually defined royalty bases. Disputes may arise over definitions, exclusions, or set-offs; licensees may under-report, delay payments, or challenge audit findings. Cross-border operations add complexity for tax, currency, data-access, and enforcement. Where necessary, audit and enforcement actions may be costly, time-consuming, and uncertain, and collections in some jurisdictions may be difficult. Persistent reporting or collection issues could reduce, delay or impair our royalty revenues, and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license our X-ray source technology to other medical imaging companies, the products integrating our technology may need to be approved or cleared by the FDA or similar regulatory agencies.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or similar regulatory agencies may require products developed by other medical imaging companies under the Licensing Model to go through lengthier or more rigorous processes than we expected. These products may also be subject to regulations by governmental agencies in other jurisdictions, or regulation by other federal, state and local agencies. In addition, we may not have control with respect to any such further regulatory approval strategies or process. If such products do not receive, or are delayed in receiving, the necessary clearances or approvals, or if the performance of one or more clinical trials are required in connection with such clearances or approvals, the prospects of our Licensing Model may be materially affected, which could have a material adverse impact on our business and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operational and financial risks in connection with acquisitions.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2021, we completed the acquisitions of Zebra (and subsequently changed its name to Nanox AI), a deep-learning machine analytics company; USARAD, a leading provider of teleradiology services; and the assets of MDWEB, a decentralized marketplace connecting imaging facilities with radiologists. Following these acquisitions, we integrated the operations of these businesses and began generating revenue through the sale of teleradiology services and AI solutions by the end of 2021. In November 2025, we completed the acquisition of Vaso Healthcare IT Corp. (and subsequently changed its name to Nanox Health IT Inc.), a healthcare information technology provider serving hospitals and healthcare providers across the United States. The integration of Nanox Health IT is expected to serve the Company’s AI business in the U.S., enhancing customer experience. Despite our efforts, we may never realize the expected synergies, business opportunities, and growth prospects from future acquisitions or joint ventures. We might not capitalize on anticipated business opportunities, and assumptions about expected cost savings could be inaccurate. Additionally, general industry and business conditions may deteriorate. Integrating operations can require significant effort and expense, and personnel may leave or be terminated due to an acquisition. Our management’s attention might be diverted during the integration process. If these factors hinder or limit our ability to integrate future acquisitions successfully or on time, our expectations for future operational results, including cost savings and synergies, may not be met. Failure to manage these risks effectively in future acquisitions and new business lines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is subject to technological change, which may result in new products or solutions that are superior to our technology or other future products we may bring to market from time to time. If we are unable to anticipate or keep pace with changes in the marketplace and the direction of technological innovation and customer demands, our technology may become less useful or obsolete and our operating results will suffer.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medical imaging industry is rapidly evolving and subject to intense and increasing competition. To compete successfully and to be able to establish and maintain a competitive position in current and future technologies, we will need to demonstrate the advantages of our technology over well-established alternative solutions, products and technologies, such as computed tomography, as well as newer methods of medical imaging and early detection. To achieve this, we will need to raise or develop financial resources, technical expertise, marketing, distribution or support capabilities and we may not be successful in doing so.</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Also, companies offering traditional medical imaging systems, such as GE Healthcare, Siemens, Philips, Hologic, Varian, Fuji, Toshiba and Hitachi, may be better established in the market than we are, have greater corporate, financial, operational, service, training, sales and marketing resources than we do, or have more experience in research and development than we have. In particular, the field emission technology has been used by a wide range of leading market players in an attempt to create an alternative digital source of X-ray, the most well-known attempt being the use of carbon nano tubes as the base materials for a potential field emission-based solution. In addition, early-detection technologies developed by other companies, such as blood testing and DNA screening, may also reduce the attractiveness of our technology for early detection or render it obsolete. Successful developments of these or other technologies by competitors resulting in new approaches for medical imaging, including technologies, products or services that are more effective or commercially attractive, could make our technology less useful or obsolete. We may also face opposition from certain industry leaders, who may have political influence and the ability to delay deployment of the Nanox System in certain geographical areas.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as the market expands, we expect the entry of additional competitors, such as cloud computing companies or leading IT companies, who may have longer operating histories, more extensive international operations, greater name recognition, and/or substantially greater technical, marketing and financial resources.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competitive position also depends on our ability to:</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widespread awareness, acceptance and adoption of our technology and future products or services;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enhanced technologies or features that improve the convenience, efficiency, safety or perceived safety, and productivity of our technology and future products or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customer needs and deliver new products or services or product enhancements to address those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time required for development until commercial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timing and cost of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 and collaborators;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inventions with patents or otherwise develop proprietary products and processes;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sufficient capital resources to expand both our continued research and development, and service, training, sales, and marketing efforts.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our AI imaging solutions, this field has significantly progressed in the last few years and there are currently over 700 FDA cleared AI products in the imaging field. There are many companies, offering various solutions which are typically categorized at triage solutions to identify acute time sensitive diagnosis, productivity solutions to facilitate the work of the radiologist or radiology technician or population health solutions to identify disease states not typically highlighted by the radiologist. We compete with established imaging OEMs and specialized AI developers that may have larger annotated datasets, broader distribution, established reimbursement pathways, and the resources to conduct multi-site validation and post-market studies required by health systems.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Development, validation and lifecycle maintenance of our AI solutions require access to diverse, representative imaging studies and clinical labels. We rely on data obtained from customers, partners and third parties, often under agreements that restrict scope, duration, de-identification methods, permitted uses and model training. Evolving privacy laws, guidance on re-identification risk, patient consent requirements, and data localization rules may further limit data availability. If we cannot obtain, use or retain sufficient data, our model performance may stagnate or deteriorate, delaying product enhancements, regulatory submissions and commercial adoption.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our teleradiology services, the teleradiology market is highly competitive, rapidly evolving and fragmented, and is subject to changing technology and market dynamics. The market has recently experienced and is expected to continue to experience competitive pricing pressure and radiologist compensation pressure. We compete directly with both large and small-scale service providers who offer local, regional and national coverage operations. We believe that our principal competitors are StatRad, ONRAD and Radiology Partners. We compete to attract and retain relationships with customers and radiologists in different ways.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technology is not, or our future products or services are not, competitive based on these or other factors, our business would be harmed.</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do business globally, including in certain countries where we might have limited resources and would be subject to additional regulatory burdens and other risks and uncertainties.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do business globally, including in North America and certain countries in Asia, Europe, Africa, Latin America and Australia. Commercialization of our X-ray source technology, the Nanox.ARC and the Nanox.ARC X, or the Nanox System in foreign markets, either directly or through third parties, is subject to additional risks and uncertainties, including:</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insurance coverage;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divergent approval and conformity assessment regimes for AI-enabled medical devices (e.g., CE marking under the EU MDR and evolving AI-specific requirements), which may necessitate additional technical documentation, post-market clinical follow-up and algorithm transparency measures;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cross-border data transfer and localization restrictions affecting AI model training, validation and teleradiology workflows;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find agencies, dealers or distributors in specific countries, states or regions;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resources to be deployed to a specific jurisdiction;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regulatory, tax, accounting and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imaging practice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and other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contractual provisions governed by foreign laws in the event of a contract dispute.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Specifically, we are subject to the U.S. Foreign Corrupt Practices Act of 1977, as amended, the U.S. domestic bribery statute contained in 18 U.S.C. § 201, the U.S. Travel Act, the USA PATRIOT Act, the United Kingdom Bribery Act 2010, the Proceeds of Crime Act 2002, Chapter 9 (sub-chapter 5) of the Israeli Penal Law, 1977, the Israeli Prohibition on Money Laundering Law–2000 and possibly other anti-bribery and anti-money laundering laws in countries outside of the United States in which we conduct our activities. As we engage finders to obtain MSaaS agreements in certain countries, we and our finders may have direct or indirect interactions with officials and employees of government agencies or state-owned or affiliated entities. We may be held liable for the corrupt or other illegal activities of these third-party business partners and intermediaries, our employees, representatives, contractors, partners and agents, even if we do not explicitly authorize such activities. As we expand our international business, our risks under these laws may increase.</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may sell the Nanox System to government entities, which are subject to a number of challenges and risks. Any actual or perceived privacy, data protection, or data security incident, or even any perceived defect with regard to our practices or measures in these areas, may negatively impact public sector demand for our products. Government entities may also have statutory, contractual or other legal rights to terminate contracts with us for convenience or due to a default, and any such termination may adversely affect our future results of operations. Governments and other global organizations (such as the UN)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We have been subject to such inspection in the past and are currently not aware of any administrative findings. In addition, sales of the Nanox System in foreign markets could also be adversely affected by the imposition of governmental controls, political and economic instability, war, conflicts, civil unrest and other hostilities, trade restrictions and changes in tariffs, any of which may adversely affect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in the United States related to payment policies for imaging procedures could have a negative impact on the utilization of our imaging services.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over the past several years, the Centers for Medicare &amp; Medicaid Services (“CMS”), the federal agency responsible for administering the Medicare program,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180"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payments for imaging services in physician offices and free-standing imaging facility settings based upon rates paid to hospital outpatient departments;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significant revisions to the methodology for determining the practice expense component of the Medicare payment applicable to the physician office and free-standing imaging facility setting which results in a reduction in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payment policies and reducing payment amounts for imaging procedures performed in the hospital outpatient setting;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reimbursement cuts for radiology services in the Medicare 2024 Physician Fee Schedule.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Increased regulation and oversight of advanced diagnostic testing may also occur. One provision in the Protecting Access to Medicare Act requires CMS to develop appropriate use criteria (“AUC”) that professionals must consult when ordering advanced diagnostic imaging services (which include magnetic resonance imaging (“MRI”), CT, nuclear medicine (including position emission tomography) and other advanced diagnostic imaging services that the Secretary of the Department of Health and Human Services (“HHS”) may specify). Under this provision, payment was to be made to the furnishing professional for an applicable advanced diagnostic imaging service only if the claim indicated that the ordering professional consulted a qualified clinical decision support mechanism, as identified by HHS, as to whether the ordered service adhered to the applicable AUC. To the extent these types of changes have the effect of reducing the aggregate number of diagnostic medical imaging procedures performed in the United States, our business, results of operations, financial condition and cash flows would be adversely affected. However, in the 2024 Physician Fee Schedule, CMS announced that, effective January 1, 2024, it paused efforts to implement the AUC program for reevaluation and rescinded its AUC regulations. It is unclear whether or how the AUC program might be reinstated or changed under the current Trump administration or the degree of impact that any such changes would ultimately have upon our business.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regulation of imaging procedures and medical device products by government authorities can be affected by a variety of factors, including government budget, funding and staffing levels, payment of user fees and reauthorization of user fee programs, ability to hire and retain key personnel, as well as statutory, regulatory and policy changes. HHS, CMS and other U.S. government agencies have been or may be subject to reductions in funding and downsizing of agency staffing levels, which could materially impact our business and operations. Further, a budget resolution passed by the House of Representatives in February 2025 proposed significant spending reductions for Medicaid and other federal programs, which, if enacted as part of a future U.S. federal budget, could impact our future business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past years, we have recognized impairments in the carrying value of goodwill and long-lived assets. Significant impairment charges could negatively affect our results of operations and shareholders’ equity.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past we have had a substantial amount of goodwill on our consolidated balance sheet as a result of historical acquisitions. The carrying value of goodwill represents the fair value of an acquired business in excess of identifiable assets and liabilities as of the acquisition date. Goodwill that is expected to contribute indefinitely to our cash flows is not amortized but must be evaluated for impairment at least annually. If the carrying value exceeds current fair value as determined based on the discounted future cash flows of the related business, the goodwill or intangible asset is considered impaired and is reduced to fair value via a non-cash charge to earnings. Events and conditions that could result in impairment include adverse changes in the regulatory environment, a reduced market capitalization or other factors leading to reduction in expected long-term growth or profitability. Goodwill impairment analysis and measurement is a process that requires significant judgment. Our share price and any control premium are factors affecting the assessment of the fair value of our underlying reporting units for purposes of performing any goodwill impairment assessment. For the year ended December 31, 2023, we recorded goodwill impairment in an amount of $7.4 million, related to the Radiology services and Nanox AI reporting units. For the year ended December 31, 2025, we recorded an impairment of $17.5 million that was recorded as a result of an impairment related to the machinery and equipment of our Korean Fab chip line. Significant impairment charges could negatively affect our results of operations and shareholders’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complexities associated with obtaining payment or reimbursement may negatively affect our revenue, cash flow and profitability.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for our imaging-based offerings is, and is expected to be, provided by individual patients and from a variety of payors, such as commercial insurance carriers, managed care organizations and governmental programs. Each payor typically has different billing requirements, and the billing requirements of many payors have become increasingly stringent.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the factors complicating our customers’ ability to bill and receive reimbursement from third-party payors are:</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payors as to which party is responsible for payment;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in coverage among various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in information and billing requirements among payors;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which is required to be provided by the ordering physician.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be required to seek new billing codes for imaging services using the Nanox System or any other imaging-based offering that we may provide, and regulatory authorities may not approve the creation of separate codes. Additionally, even if we are successful, existing or future billing codes or the payment amounts associated with such codes may change in the future.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imaging-based offerings, could negatively affect our revenue, cash flow and profitability.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Any collaborative and MSaaS arrangements that we have established or may establish in the future may not be successful or we may otherwise not realize the anticipated benefits from these collaborations. We do not control third parties with whom we have or may have collaborative or MSaaS arrangements, and we will rely on them to achieve results which may be significant to us. In addition, any current or future collaborative and MSaaS arrangements may place the development and commercialization of our technology outside our control, may require us to relinquish important rights or may otherwise be on terms unfavorable to us.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certain, and expect to enter into additional, collaborative arrangements and MSaaS agreements with respect to the research, development, manufacture and commercialization of our technology with different relevant industry participants, including, among others, local operators, integrators, radiologists, cloud storage providers and medical AI software providers and third-party payors. See “Item 4. Information on the Company—B. Business Overview—MSaaS Agreements” and “Item 4. Information on the Company—B. Business Overview—Collaboration Agreements.” Any future potential collaborative or MSaaS arrangements may require us to rely on external consultants, advisors and experts for assistance in several key functions, including research and development, manufacturing, regulatory, intellectual property, commercialization and distribution. We cannot and will not control these third parties, but we may rely on them to achieve results, which may be significant to us. Relying upon these collaborative arrangements subjects us to a number of risks, including:</w:t>
      </w:r>
    </w:p>
    <w:p>
      <w:pPr>
        <w:spacing w:after="0" w:line="19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our technology;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 collaborator fail to comply with applicable laws, rules or regulations when performing services for us, we could be held liable for such violations;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gather sufficient further clinical evidence to support our technology and its usage;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have a shortage of qualified personnel, particularly radiologists who can review the medical images generated by the Nanox System, especially as we deploy additional Nanox Systems and the volume of scans increases;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default on their payments to us or fail to deliver standby letters of credit or financial guarantees, and it may be time consuming and difficult to enforce such payment obligations and obligations to provide standby letters of credit and financial guarantees in various jurisdictions, and we may be unsuccessful in enforcing such obligations;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arrangements are subject to conditionality, including receipt of regulatory clearance and material compliance with acceptance test protocol, among other things, for the Nanox.ARC and the Nanox.ARC X;</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a collaborator could move forward with a competing product developed either independently or in collaboration with others, including our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collaborators may utilize our proprietary information in a way that could expose us to competitive harm;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could obtain ownership or other control over intellectual property that is material to our business;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or remain unformalized by a written agreement, which could delay the ability to commercialize our technology.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disputes arise between us and any of our collaborators, it could result in the delay or termination of the development, manufacturing or commercialization of products containing our technology, lead to protracted and costly legal proceedings, or cause collaborators to act in their own interest, which may not be in our interest. As a result, the collaborative arrangements that we may enter into, may not achieve their intended goals.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these scenarios materialize, they could have a material adverse effect on our business, financial condition, results of operations and prospects.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may have other future products where it is desirable or essential to enter into agreements with a collaborator who has greater financial resources or different expertise than us, but for which we are unable to find an appropriate collaborator or are unable to do so on favorable terms. If we fail to enter into such collaborative agreements on favorable terms, it could materially delay or impair our ability to develop and commercialize, and increase the costs of development and commercialization of, our technology.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deploying our MSaaS products, we rely upon third-party providers of cloud-based infrastructure, such as Microsoft. Any disruption in the operations of cloud service providers or interference with our use of cloud service providers would adversely affect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offerings to cloud service providers, such as Azure, Microsoft. Our customers need to be able to access our products and services at any time, without interruption or degradation of performance. Our cloud-based MSaaS products depend on protecting the virtual cloud infrastructure hosted by cloud service providers by maintaining its configuration, architecture, features and interconnection specifications, as well as maintaining the information stored in these virtual data centers and transmitted by third-party internet service providers. While our cloud service providers typically have robust backup and disaster recovery plans and processes in place, any incident affecting our cloud service providers’ infrastructure that may be caused by fire, flood, severe storm, earthquake or other natural disasters, viruses, cyberattacks, terrorist or other attacks, and other similar events beyond our control could negatively affect our cloud-based SaaS products. A prolonged service disruption affecting our cloud-based offerings for any of the foregoing reasons would negatively impact our ability to serve our customers and could damage our reputation with current and potential customers, expose us to liability, cause us to lose customers or otherwise have an adverse effect on our business, financial condition, and results of operations. We may also incur significant costs for using alternative equipment or taking other actions in preparation for, or in reaction to, events that damage the cloud service providers services we use.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that our service agreements with our cloud service providers are terminated, or there is a lapse of service, elimination of services or features that we utilize, interruption of internet service provider connectivity or damage to such facilities, we could experience interruptions in access to our MSaaS offering as well as significant delays and additional expenses in arranging or creating new facilities and services and/or re-architecting our cloud offering for deployment on a different cloud infrastructure service provider, which may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Having our software on the cloud increases the risk of operational disruption should internet service be interrupted. While we have implemented business contingency and other plans to facilitate continuous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warranty claims and professional malpractice liability claims that could be expensive, divert management’s attention and harm our business reputation and financial results.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marketing and sale of products used in patient care. We may be held liable if the Nanox System or if any other product that integrates our X-ray source technology causes injury or death or is found otherwise unsuitable during usage. The Nanox System incorporates sophisticated components and computer software. Complex software can contain errors, particularly when first introduced. In addition, new products or enhancements may contain undetected errors or performance problems that, despite testing, are discovered only after installation. Patients and end-users of the Nanox System could allege or possibly prove defects of our products or other products that integrate our technology.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may use our products in a manner that is inconsistent with the products’ labeling and that differs from the manner in which they were used in clinical studies and authorized for marketing by the FDA. Off-label use of products by healthcare providers is common, and any such off-label use of our products could subject us to additional liability, or require design changes to limit this potential off-label use once discovered. Defending a suit, regardless of merit, could be costly, could divert management attention, and might result in adverse publicity, which could result in the withdrawal of, or result in reduced acceptance of, our products in the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A product liability claim, regardless of its merit or eventual outcome, could result in significant legal defense costs and divert management’s 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liability claims may result in:</w:t>
      </w:r>
    </w:p>
    <w:p>
      <w:pPr>
        <w:spacing w:after="0" w:line="20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Nanox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and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future products.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professional liability claims, including, without limitation, for improper use or malfunction of our diagnostic imaging software.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the radiologists that provide our teleradiology services may occasionally subject us to malpractice claims. For example, on November 29, 2023, a claim was asserted in Edgar County, Illinois against several defendants, including USARAD and a USARAD radiologist, alleging medical negligence relating to the failure to timely diagnose and treat a cervical spinal cord injury following a fall, including allegations that the radiologist misinterpreted a cervical CT and failed to recommend additional emergent diagnostic imaging. The matter remains in litigation and is proceeding through depositions. In addition, on February 7, 2025, a claim was filed in Saint Lawrence County, New York against several defendants, including USARAD and another USARAD radiologist, alleging medical negligence arising from the alleged misinterpretation of a CT scan and an alleged failure to diagnose a perforation of the sigmoid colon, which purportedly resulted in sepsis and the need for surgical intervention. The matter is in discovery pursuant to a Preliminary Conference Order, with depositions to be completed by October 30, 2026. Additional claims, suits or complaints relating to services provided by these radiologists or other radiologists have been, and may be asserted against us in the future. Any of these outcomes may have an adverse effect on our business, financial condition and results of operations, and may increase the volatility of our share price.</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coverage limits of our insurance policies we may choose to purchase to cover related risks may not be sufficient to cover future claims. If sales of the Nanox System or other products integrating our technology increase or we suffer future product liability claims or malpractice claims, we may be unable to maintain product liability insurance or malpractice insurance at satisfactory rates or with adequate amounts or at all. A product liability claim, any product recalls or excessive warranty claims, whether arising from defects in design or manufacture or otherwise, could negatively affect our sales or require a change in the design or manufacturing process, any of which could harm our relationship with our customers and partners, and have a material adverse impact on our reputation and business, financial condition, results of operations and prospects. Claims may arise from alleged misreads or delays in teleradiology interpretations, or from alleged defects or failures of our AI solutions, including claims asserting that use of our software contributed to a missed or delayed diagnosis; such claims may not be fully covered by product liability, errors and omissions or medical malpractice insurance. For example, a technical issue in a commercial engagement resulted in a mismatch between the country of origin of certain scans and their system labeling, leading to interpretation by radiologists licensed in different jurisdictions. Although the issue was identified and remediated, and corrective actions were implemented, similar incidents could result in regulatory, legal, or reputational risks.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the Nanox System or other products integrating our technology are defective, we, our future customers or partners may be required to notify regulatory authorities and/or to recall the products. See “—Risks Related to Government Regulation—Our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Any recall would divert management’s attention and financial resources and harm our reputation with customers, patients, medical professionals and third-party payors. A recall involving the Nanox System would be particularly harmful to our business. The adverse publicity resulting from any of these actions could adversely affect the perception of our customers or partners. These investigations or recalls, especially if accompanied by unfavorable publicity, could result in our incurring substantial costs, losing revenues and damaging our reputation, each of which would harm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 of teleradiology services is subject to extensive state licensure, facility credentialing, privileging and supervision requirements, as well as corporate practice of medicine and fee-splitting restrictions.</w:t>
      </w:r>
    </w:p>
    <w:p>
      <w:pPr>
        <w:spacing w:after="0" w:line="159" w:lineRule="exact"/>
        <w:rPr>
          <w:sz w:val="20"/>
          <w:szCs w:val="20"/>
          <w:color w:val="auto"/>
        </w:rPr>
      </w:pPr>
    </w:p>
    <w:p>
      <w:pPr>
        <w:jc w:val="both"/>
        <w:ind w:firstLine="383"/>
        <w:spacing w:after="0" w:line="255" w:lineRule="auto"/>
        <w:rPr>
          <w:sz w:val="20"/>
          <w:szCs w:val="20"/>
          <w:color w:val="auto"/>
        </w:rPr>
      </w:pPr>
      <w:r>
        <w:rPr>
          <w:rFonts w:ascii="Times New Roman" w:cs="Times New Roman" w:eastAsia="Times New Roman" w:hAnsi="Times New Roman"/>
          <w:sz w:val="18"/>
          <w:szCs w:val="18"/>
          <w:color w:val="auto"/>
        </w:rPr>
        <w:t>Our radiologists must maintain appropriate, often multi-state, medical licenses and hospital privileges, and any lapse, delay or adverse action could disrupt service delivery. Changes in state telehealth rules, cross-border practice restrictions, or payor policies could require us to modify or limit our service footprint. Any failure to comply with these licensure, credentialing, privileging, supervision, corporate practice of medicine or fee-splitting requirements, or any inability to adapt to evolving state telehealth rules, cross-border practice restrictions or payor policies, could result in fines, penalties, loss of licensure, denial or revocation of hospital privileges, disgorgement of fees, civil or criminal liability, the unenforceability of our service or compensation arrangements, reputational harm, or our inability to provide teleradiology services in one or more jurisdictions, any of which could materially and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 significant number of our radiologists, our revenue from our teleradiology services and financial results could be adversely affected.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a shortage of qualified radiologists in some of the regional markets that we serve. In addition, competition in recruiting radiologists may make it difficult for us to maintain adequate levels of radiologists. If a significant number of radiologists terminate their relationships with us and we cannot recruit sufficient qualified radiologists, our ability to generate revenue from teleradiology services and our financial results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reseller business depends on a limited number of third-party technology vendors and distributors whose authorizations and commercial programs may be changed or terminated, which could materially reduce our product offerings, margins, and revenue.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subsidiary, Nanox Health IT Inc. (formerly: Vaso Healthcare IT Corp.) (“Nanox Health IT”), a healthcare information technology provider serving hospitals and healthcare providers across the United States, resells and supports third-party healthcare IT infrastructure, cybersecurity, compliance, and imaging and clinical systems solutions for U.S. healthcare organizations. We rely on non-exclusive reseller agreements with the vendors we partner with. These arrangements are typically terminable on short notice. If we are unable to maintain or renew key vendor relationships, we could lose access to products and services that our customers demand, experience deterioration in pricing and incentives, and face delays in obtaining required support and licenses. Any such developments could impair Nanox Health IT’s growth and profitability and, by reducing our channel access and installed-base relationships, hinder adoption of our FDA-cleared AI imaging solutions where they are intended to be integrated with customer infrastructure.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collect amounts owed to us by our customers, we may nevertheless remain obligated to pay third-party vendors and other service providers for the products and services we resell or procure on our customers’ behalf, which could adversely affect our liquidity, cash flows, financial condition, and results of operations.</w:t>
      </w:r>
    </w:p>
    <w:p>
      <w:pPr>
        <w:spacing w:after="0" w:line="17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Nanox Health IT provides healthcare information technology solutions and services to hospitals and other healthcare organizations in the United States and, as part of that business, resells and supports third-party healthcare IT infrastructure, cybersecurity, compliance, and imaging and clinical systems solutions. In these arrangements, we may act as an intermediary between our customers and the third-party technology vendors, software publishers, distributors, cloud providers, and service partners whose products and services we resell, integrate, support, or procure.</w:t>
      </w:r>
    </w:p>
    <w:p>
      <w:pPr>
        <w:spacing w:after="0" w:line="18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To the extent our customer contracts and vendor arrangements are structured on a “back-to-back” or similar basis, we may become contractually obligated to pay vendors (including for software licenses, subscriptions, hardware, support, professional services, cloud hosting, maintenance, or other third-party charges) on timelines that do not match, and may be independent of, our ability to collect payment from our customers. For example, we may be required to remit vendor payments even if a customer disputes an invoice, delays payment, is unable to pay, or defaults. In addition, our customers may withhold payment or seek offsets or credits based on allegations relating to performance, delays, service levels, cybersecurity incidents, or integration and interoperability issues, including where the underlying issue is attributable in whole or in part to a third-party vendor or product. At the same time, our ability to recover corresponding amounts from vendors may be limited by contract, subject to caps or exclusions, delayed, or disputed. As a result, we could incur material working capital needs and credit losses, and our operating cash flows could be adversely affected, including in periods when customer payment cycles lengthen, hospital budgets tighten, or macroeconomic conditions or healthcare reimbursement dynamics negatively affect customer liquidity. If we are required to make payments to vendors or other third parties without timely collection from customers, we may need to use cash on hand, draw on any available financing arrangements, or seek additional financing on unfavorable terms, and we may be required to reduce spending on growth initiatives, personnel, or other strategic priorities. Any of the foregoing could increase our expenses, reduce margins, and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including from original vendors that sell directly to end customers, may compress our margins and reduce our market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our healthcare IT business, managed by our subsidiary, Nanox Health IT, we compete with other value-added resellers, systems integrators, and managed service providers, as well as with original equipment manufacturers and software publishers that increasingly sell directly to healthcare providers. Because the reseller market is characterized by price-based competition and structurally low gross margins, small shifts in vendor incentives or competitive pricing can significantly affect profitability. Competitive pressures may require us to match or beat aggressive pricing, expand pre-sales engineering and post-deployment support at our own expense, or accept less favorable terms. If we cannot maintain differentiation through healthcare-grade services and integration expertise, our margins and market share may decline. Reduced reseller profitability or lost deals would also lessen opportunities to deploy and scale our AI imaging platform in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over the quality, availability, and support of third-party products and services we resell, which exposes us to operational, contractual, and reputational risk.</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deliver outcomes for customers of Nanox Health IT depends on third-party vendors’ product quality, security posture, regulatory readiness, release schedules, and technical support. Vendors may modify product features, pricing, licensing, support models, or end-of-life timelines without our consent. Product defects, cybersecurity vulnerabilities, delayed releases, supply constraints, or service degradations at our vendors can lead to project delays, increased remediation costs, customer dissatisfaction, credits or penalties under our contracts, and reputational harm to Nanox Health IT. Because we cannot control vendor roadmaps or manufacturing capacity, we may be unable to source functionally equivalent alternatives on acceptable terms or timelines. These issues may also impede integrations required for our AI imaging solutions to interoperate with customer systems and thereby delay our commercialization strategy.</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vendor pricing models, or certification requirements could reduce our gross profit and require additional investments in personnel and training.</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meaningful portion of our reseller economics may depend on the pricing models we obtain from Nanox Health IT’s contracted vendors. Vendors may change their pricing models or require higher levels of sales specialization and technical certifications. Failure to obtain favorable pricing models or changes in required certification could lower our margins and require increased investment in sales engineering and compliance training, which may not be fully recoverable in pricing. Margin erosion at Nanox Health IT could constrain resources available to support the deployment and support of our AI imaging platform in customer environments.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within U.S. healthcare environments subjects our reseller and managed services activities to complex and evolving regulations, including HIPAA and state privacy laws, and any non-compliance or security incident could result in significant penalties and loss of customer trust.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Nanox Health IT provides services and support within highly regulated clinical settings. In the course of delivering infrastructure, cybersecurity, compliance solutions, and imaging/clinical systems support, we may access or process protected health information, other sensitive data, or customer systems subject to the Health Insurance Portability and Accountability Act (HIPAA), state privacy and security laws, and contractual requirements. Compliance requires technical safeguards, administrative controls, workforce training, vendor diligence, and incident response capabilities. Actual or perceived non-compliance, a data breach, ransomware event, or security vulnerability, whether arising in our operations or those of our third-party vendors, could lead to regulatory investigations, contractual liability, indemnity claims, remediation costs, business interruption, reputational harm, and loss of customer relationships. Such events could also slow or prevent integration of our AI imaging solutions into customer workflows and hinder their clinical adoption.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liability or reputational harm for third-party products or services we resell, integrate, or support, including in connection with clinical systems and cybersecurity solutions.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Customers may attribute system outages, performance issues, or security incidents to us when the underlying root cause lies with a third-party product, cloud service, update, or integration dependency. Our contracts may include service-level commitments, indemnification obligations, or limitations on our ability to disclaim responsibility for vendor performance. In healthcare environments, service disruptions or security incidents may carry heightened patient safety, operational, and regulatory implications. Even where we have contractual recourse against a vendor, recovery may be limited, delayed, or disputed. Reputational damage from such incidents could adversely affect both Nanox Health IT’s services pipeline and confidence in our AI imaging platform’s reliability and security posture.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healthcare customer base may be concentrated, and purchasing cycles can be lengthy and influenced by budgetary, reimbursement, and compliance considerations, resulting in revenue variability and forecasting challenges.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Hospital systems, imaging centers, radiology groups, and healthcare networks often undertake complex procurement processes, require extensive due diligence (including security, privacy, and compliance reviews), and coordinate across clinical, IT, and administrative stakeholders. As a result, sales cycles can be long, and order timing may be uneven or deferred due to budget constraints, capital allocation priorities, or regulatory considerations. If a limited number of key accounts reduce or delay purchases, or if we fail to expand within existing customers, our revenue and profitability could be adversely affected. Concentration and timing risks within Nanox Health IT’s business may also affect the pace at which we can pilot, integrate, and scale our AI imaging solutions with those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Nanox Health IT into our operations and aligning third-party solutions with our FDA-cleared AI imaging platform may require significant resources and entails execution risk.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leverage Nanox Health IT’s infrastructure, cybersecurity, and clinical systems expertise to support the deployment and scaling of our AI imaging solutions across U.S. healthcare providers. Achieving this strategy requires coordinated product roadmaps with third-party vendors, development of validated interfaces and workflows, adherence to healthcare data and security controls, and expansion of our field engineering and customer success capabilities. Integration activities may divert management attention, increase operating expenses, or encounter unforeseen technical, regulatory, or contractual constraints. Delays or additional costs in integrating systems and services could slow commercial adoption of our AI imaging solutions and negatively impact our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constraints, product allocation, or licensing changes by third-party vendors could delay customer projects and hinder deployments that are prerequisites for our AI imaging adoption.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Healthcare IT infrastructure and security projects frequently depend on specific hardware, cloud capacity, or software licenses. Vendor supply constraints, allocation priorities, changes in licensing models, or end-of-sale/end-of-support announcements can delay implementations or necessitate redesigns. Because our ability to deploy and support our AI imaging solutions often depends on the timely availability of compatible third-party components and environments, such disruptions could defer revenue, increase costs, or cause customers to reconsider platform standardization decisions in ways that disadvantage our offerings.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managed and professional services increase our exposure to project performance, staffing, and subcontractor risks that can affect customer outcomes and profitability.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Delivering design, deployment, migration, and ongoing managed services requires specialized personnel, stringent quality controls, and, in some cases, subcontractors or independent contractors. We may face challenges recruiting and retaining healthcare-grade security, compliance, and imaging systems expertise at scale, and labor cost inflation could pressure margins. Project scope changes, delays in customer readiness, or underestimation of effort may result in cost overruns, credits, or disputes. Where we rely on subcontractors or vendor professional services, their performance and availability may be outside our control. Any of these factors could reduce Nanox Health IT’s profitability and diminish our ability to deliver integrated environments that support our AI imaging platform.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vendor channel strategies, including shifts toward direct sales or consumption-based cloud marketplaces, may reduce our role or economics in customer transactions.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technology vendors and cloud providers increasingly transact directly with healthcare customers or through digital marketplaces, changing the value capture and role of resellers and systems integrators. If vendors reduce channel protections, limit partner margins, require direct contracts for certain services, or prioritize their own professional services, our ability to participate in, influence, and support customer solutions could diminish. Reduced involvement in customer environments would also limit opportunities to introduce, integrate, and expand our AI imaging solutions.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to maintain robust compliance, certifications, and partner designations across multiple vendors and regulatory frameworks could restrict our access to opportunities in U.S. healthcare.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Healthcare customers frequently require proof of security posture, privacy compliance, workforce training, background checks, and vendor-specific technical certifications. Maintaining these qualifications is resource-intensive and subject to periodic audit. If we fail to obtain or maintain required certifications, attestations, or partner designations, we may be excluded from bids or advanced support tiers, lose access to incentive programs, or face contractual penalties. These outcomes could materially limit Nanox Health IT’s growth and reduce the breadth of environments where our AI imaging solutions can be deployed.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depends on the continued services of key members of our senior management. In particular, and to a critical extent, we are dependent on the continued efforts and services of the members of management named under “Item 6. Directors, Senior Management and Employees,” as well as the senior management of our significant subsidiaries. If we lose the services of such key members of our management team, we would likely be forced to expend significant time and money in the pursuit of replacement individuals, which may result in a delay in the implementation of our business plan and plan of operations. We may not be able to find satisfactory replacements on terms that would not be unduly expensive or burdensome to us. We do not currently carry a key-man life insurance policy that would assist us in recouping our costs in the event of the death or disability of a member of our management team. The loss of members of our management team, or our inability to attract or retain other qualified individuals,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mishandling or the perceived mishandling of sensitive information, or the occurrence of data security breaches, could harm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our business operations will enable us to accumulate a significant amount of highly sensitive and/or confidential information, including medical images and other medical and personal information. While employee contracts generally contain standard confidentiality provisions, our employees, customers or collaborators may not properly handle or process sensitive or confidential data. The improper handling of sensitive or confidential data, or even the perception of such mishandling (whether or not valid), or other security lapses by us, our customers or collaborators, could reduce demand for our offerings or otherwise expose us to financial or reputational harm or legal liability.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any security breach, including personal data breaches, or incident, including cybersecurity incidents, that we experience could result in unauthorized access to, misuse of or unauthorized acquisition of the sensitive or confidential information and data (including medical information), the loss, corruption, or alteration of this data, interruptions in our operations, or damage to our systems. Any such incidents, or any failure to make adequate or timely disclosures to the public, regulators or law enforcement agencies following any such incident, could subject us or our service providers to substantial system downtimes, operational delays, other detrimental impacts on our operations or ability to provide products and services to our customers, the compromising of confidential or otherwise protected information, including personal data, the destruction or corruption of data, other manipulation or improper use of our systems and networks, violations of applicable privacy, data collection and protection and cybersecurity laws and regulations or notification obligations, legal claims, regulatory scrutiny or enforcement actions, financial losses from remedial actions, loss of business or potential liability and/or damage to our reputation, any of which could have a material adverse effect on our business operations, cash flows, competitive position, financial condition and results of operations.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increasing number of digital platforms have disclosed breaches of their security,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our results of operations could be negatively affected. Data security breaches and other incidents may also result from non-technical means (e.g., actions by employees or contractors). Any compromise of our security could result in a violation of applicable security, privacy or data protection, consumer and other laws, regulatory or other governmental investigations, enforcement actions, and legal and financial exposure, including potential contractual liability. Any such compromise could also result in damage to our reputation and a loss of confidence in our security and privacy or data protection measures. Any of these effects could materially and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execute our business strategy depends, in part, on the continued and uninterrupted performance of our information technology systems, which support our operations. Despite the implementation of security measures, our internal computer systems, and those of third parties on which we rely, are vulnerable to damage from, among others,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could be enhanced or facilitated by AI. Our systems are also subject to compromise from internal threats such as improper action by employees, including phishing attacks or malicious insiders, or by vendors, counterparties and other third parties with otherwise legitimate access to our systems. Our policies, employee training, procedures and technical safeguards may not prevent all improper access to our network or proprietary or confidential information by employees, vendors, counterparties or other third parties. For example, in March 2026, we became aware that we were subject to what we believe was an attempted cybersecurity breach. Although to our best knowledge, the attempted cybersecurity breach did not have a material adverse effect on our business, a similar event in the future could have a material adverse effect on our business operations, cash flows and financial condition. If any other similar event were to occur and cause interruptions in our operations, it could result in a material disruption of our product development programs. We may not be able to anticipate data breaches, cyber-attacks or other similar incidents, detect or react to such incidents in a timely manner, implement effective preventive measures against such incidents, or adequately remediate any such incident. In addition, we cannot be certain that our insurance coverage will be adequate for cybersecurity liabilities actually incurred, that insurance will continue to be available to us on economically reasonable terms, or at all, or that our insurer will not deny coverage as to any future claim.</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such security breach may compromise information stored on our networks and may result in significant data losses or theft of personally identifiable information. A cybersecurity breach could also hurt our reputation by adversely affecting the patients’ perception of the security of their information.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In addition, a cybersecurity attack could result in other negative consequences, including disruption of our internal operations, increased cyber security protection costs, lost revenue, regulatory actions or litigations.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payment from some of our customers for our AI solutions as a result of financial hardship.</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contract with hospitals, imaging centers, urgent care and other facilities to provide reading, teleradiology services and AI solutions. Some of our customers may not have significant financial resources, liquidity or access to capital. If these customers experience financial difficulties, they may be unable to pay us for the services that we provide. A significant deterioration in industry conditions could have a material adverse effect on the financial health of some of our customers. If our customers suffer financial hardship, they could delay or default on their payment obligations to us, negatively impacting our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the New Israeli Shekel and the KRW and inflation may negatively affect our results of operations, and we may not be able to hedge our currency exchange risks successfully.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dollar is our functional and reporting currency. However, a portion of our operating expenses, including personnel and facilities related expenses, are incurred in NIS or KRW. As a result, we are exposed to the risks that the NIS and KRW may appreciate relative to the U.S. dollar, or, if the NIS and KRW instead devalues relative to the U.S. dollar, that the inflation rate in Israel or Korea may exceed such rate of devaluation of the NIS or KRW, or that the timing of such devaluation may lag behind inflation in Israel or Korea. In any such event, the dollar cost of our operations in Israel or Korea would increase and our dollar-denominated results of operations would be adversely affected. Given our general lack of currency hedging arrangements to protect us from fluctuations in the exchange rates of the NIS and KRW and other foreign currencies in relation to the U.S. dollar (and/or from inflation of such foreign currencies), we may be exposed to adverse effects from such movements. Our exchange rate exposure may change over time as our business evolves and could result in increased costs or reduced revenue and could affect our actual cash flow. Changes in the relative values of currencies occur regularly and, in some instances, may have a significant impact on our operating results. The rate of inflation in Israel or Korea or in currency exchange rates may materially change and we might not be able to effectively mitigate these risks.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litigation and investigations in the future, all of which will require significant management attention, could result in significant legal expenses and may result in unfavorable outcomes, all or any of which could have a material adverse impact on our financial condition and results of operations, harm our reputation or otherwise negatively impact our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been, and may in the future become, subject to litigation, investigations, or claims arising in or outside the ordinary course of business that could negatively affect our business operations and financial condition, including securities class actions and shareholder derivative actions, both of which are typically expensive to defend. Such claims and litigation proceedings may be brought by third parties, including our customers, competitors, advisors, service providers, partners or collaborators, employees, and governmental or regulatory bodies.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example, as previously disclosed, we had two securities class action complaints against us and certain former officers and a director, asserting violations of federal securities laws and seeking unspecified damages. On June 2, 2023, the Company entered into a formal settlement agreement to settle those actions for $8 million. On May 7, 2024, the settlement was approved by the court. In addition, the Division of Enforcement of the SEC previously conducted an investigation to determine whether there had been any violations of the federal securities laws, relating to the development cost of the Company’s Nanox.ARC prototypes, as well as the Company’s estimate for the cost of assembling the final Nanox.ARC product at scale, among other things. The Company and Ran Poliakine, former Chairman of the Board of Directors of the Company who passed away in January 2024, reached final agreements with the SEC staff to settle this matter, which agreements were approved by the United States District Court for the Southern District of New York in October 2023. The Company paid a civil penalty in the amount of $650,000 and is permanently enjoined from violating Section 17(a)(2) of the Securities Act and Section 13(a) of the Securities Exchange and Rules 12b-20 and 13a-1 thereunder. Mr. Poliakine paid disgorgement of $240,000, together with prejudgment interest of $26,836.39, a civil penalty of $150,000, and was permanently enjoined from violating Section 17(a)(2) of the Securities Act and aiding and abetting any violation of Section 13(a) of the Exchange Act and Rules 12b-20 and 13a-1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USARAD and the radiologists that provide our teleradiology services may occasionally subject us to malpractice claims. For example, on November 29, 2023, a claim was asserted in Edgar County, Illinois against several defendants, including USARAD and a USARAD radiologist, alleging medical negligence relating to the failure to timely diagnose and treat a cervical spinal cord injury following a fall, including allegations that the radiologist misinterpreted a cervical CT and failed to recommend additional emergent diagnostic imaging. The matter remains in litigation and is proceeding through depositions. In addition, on February 7, 2025, a claim was filed in Saint Lawrence County, New York against several defendants, including USARAD and another USARAD radiologist, alleging medical negligence arising from the alleged misinterpretation of a CT scan and an alleged failure to diagnose a perforation of the sigmoid colon, which purportedly resulted in sepsis and the need for surgical intervention. The matter is in discovery pursuant to a Preliminary Conference Order, with depositions to be completed by October 30, 2026.</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 claim was filed in Israel against the Company, Nanox Imaging PLC (“Nanox Gibraltar”) and the deceased Mr. Ran Poliakine, the Company’s previous Chairman, alleging a breach of a consulting agreement between the plaintiff and Nanox Gibraltar. See “Item 4. Information on the Company—B. Business Overview—Legal Proceedings.”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2025, we received a letter from a shareholder detailing certain purported concerns and allegations relating to representations made during negotiations regarding a certain asset transaction. On April 19, 2026, we entered into a settlement agreement with said shareholder, pursuant to which the alleging shareholder, on its own behalf and on behalf of its shareholders, fully released us from any and all claims, including those mentioned in the shareholder’s letter, claims relating to the asset transaction, and claims relating to our relationship with the shareholder and its affiliates and shareholders. In return for the release, and without admission of any liability, we agreed to issue to the shareholder 450,000 ordinary shares.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outcome of any litigation and SEC investigation, regardless of its merits, is inherently uncertain and may differ substantially from our expectations. Any claims and lawsuits, and the disposition of such claims and lawsuits, or SEC investigation could be time-consuming and expensive to resolve, divert management attention and resources, and lead to attempts on the part of other parties to pursue similar claims. We may not be able to determine the amount of any potential losses and other costs we may incur due to the inherent uncertainties of litigation and settlement negotiations. In the event we are required or decide to pay amounts in connection with any claims, lawsuits or SEC investigation, such amounts could be significant and could have a material adverse impact on our liquidity, business, financial condition and results of operations. In addition, the outcome of any litigation and SEC investigation, including the collateral effects of the Company’s recent settlement with the SEC as described above, may increase the likelihood of us being subject to potential claims, litigations and investigations, and could have a material adverse impact on our business, liquidity and financing. In addition, depending on the nature and timing of any such dispute, a resolution of a legal matter could materially affect our future operating results, our cash flows or both.</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tariffs or other restrictions related to “trade wars” placed on foreign nations’ imports or any related counter-measures taken by such countries may materially harm our revenue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Nanox.ARC and the Nanox.ARC X production process involves manufacturers and/or suppliers in foreign nations for the production of certain components of the Nanox.ARC and the Nanox.ARC X. There have been significant changes and proposed changes in recent years to U.S. trade policies, tariffs and treaties affecting imports. The U.S. administration has announced additional tariffs on imports from a number of countries, including China. In response, China and other countries have imposed or proposed additional tariffs on certain imports from the United States, as well as additional trade restrictions. Such tariffs and any further legislation or actions taken by the United States or other countries that restrict trade, such as additional tariffs, trade barriers, tax policies related to international commerce, export controls, sanctions and investment restrictions, renegotiation of existing trade agreements with U.S. trading partners, and other protectionist or retaliatory measures taken by such governments, could adversely impact our business, financial condition and results of operations. If any forms of duties or tariffs are imposed on the Nanox.ARC or the Nanox.ARC X, or their components, we may be required to charge higher prices in the United States than we expect, which may result in fewer customers and harm our operating performance. Alternatively, we or our contractors may seek manufacturers and/or suppliers in countries not affected, or less affected by the tariffs, resulting in significant costs and disruption to our operations and business. Our business could also be impacted by retaliatory trade measures taken by other countries in response to existing or future tariffs, causing us to raise prices or make changes to our operations, any of which could materially harm our business, financial condition and results of operations. Escalating trade tensions between the U.S. and other countries may also disrupt global supply chains and could materially disrupt the manufacturing or deployment of the Nanox.ARC or result in significant price increases. The imposition of tariffs or other similar trade restrictions may also be inflationary, which could cause the cost of inputs to increase. Volatile trade relations have also caused and may continue to cause significant volatility in the global financial market. Further, political tensions as a result of trade policies could reduce trade volume, investment, technological exchange, and other economic activities between major international economies, resulting in a material adverse effect on global economic conditions. Any of these developments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changes in general economic conditions.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arising from changes in domestic and global economic conditions, including adverse economic conditions in markets in which we operate, which may harm our business. For example, the existence of inflation in the economy has resulted in, and may continue to result in, high interest rates and capital costs, limited availability of credit, liquidity shortages and constrained capital spending, increased costs of labor, fluctuations in foreign currency exchange rates, challenging and delayed sales cycles, slower adoption of new technologies, increased price competition and other similar effects. A failure to adequately respond to these risks could have a material adverse impact on our financial condition, results of operations or cash flows.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our future customers significantly reduce spending in areas in which our technology and products are utilized, or prioritize other expenditures over our technology and products, our business, financial condition, results of operations and prospects would be materially adversely affected.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Disruption to the global economy could also result in a number of follow-on effects on our business, including a possible slow-down resulting from lower customer expenditures; inability of customers to pay for products, solutions or services on time, if at all; an increase in the amount of accounts receivable we are required to write off; more restrictive export regulations which could limit our potential customer base; negative impact on our liquidity, financial condition and share price, which may impact our ability to raise capital in the market, obtain financing and secure other sources of funding in the future on terms favorable to us.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occurrence of catastrophic events, such as hurricanes, storms, earthquakes, tsunamis, floods, medical epidemics and other catastrophes that adversely affect the business climate in any of our markets could have a material adverse effect on our business, financial condition and results of operations. Some of our operations are located in areas that have been in the past, and may be in the future, susceptible to such occurrences.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adverse developments with respect to geopolitical disputes and financial institutions and associated liquidity risk.</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conflicts in the Middle East and between Russia and Ukraine has had negative impacts on the global economy, including by contributing to rapidly rising costs of living (driven largely by higher energy prices) and created uncertainty in the global capital markets and is expected to have further global economic consequences, including disruptions of the global supply chain and energy markets. The Russian military actions and the resulting sanctions have had a negative impact on supply chains, our MSaaS agreements relating to Russia and Belarus or the region and adversely affect the global economy and financial markets. While we have not experienced any material disruption to our operations as a result of the current geopolitical developments, and our business continues to operate as planned across its global operations, there can be no assurance that the ongoing geopolitical developments will not have an impact on our operations, financial condition, or results of operations in the future. 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20-F.</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carry any business interruption insurance or any other insurance (except for director and officer, property, product and professional liability, malpractice, clinical trials and cyber security insurance). As a result, we may incur uninsured losses, increasing the possibility that you would lose your entire investment in our company.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products and services are in the medical imaging field and so may be subject to claims. We are not immune from product liability or other product claim risks, and we may not be able to maintain insurance on acceptable terms against such risks or that such insurance will be sufficient to protect us against potential claims or that insurance will be available in the future in amounts sufficient to protect us. A product liability claim, malpractice or other claim, as well as any claims for uninsured liabilities or in excess of insured liabilities, could have a material adverse effect on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and/or officers may have interests that may differ from ours.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directors currently own, operate and manage other entities, which may have similar or different objectives than ours. Such activities could detract from the time these people have to allocate to our affairs.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Our management team may not successfully or efficiently manage our operations as a public company subject to significant regulatory oversight and reporting obligations under the U.S.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employee or other stakeholders’ evolving expectations and standards for responsible corporate citizenship in areas including environmental stewardship, support for local communities, Board of Directors and employee diversity, human capital management, employee health and safety practices, product quality, supply chain management, corporate governance and transparency, our reputation and employee retention may be negatively impacted, and our suppliers may be unwilling to continue to do business with 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Investors and other stakeholders are increasingly focusing on environmental issues, including climate change, energy and water use, plastic waste and other sustainability concerns. Concern over climate change may result in new or increased legal and regulatory requirements to reduce or mitigate impacts to the environment. Increased regulatory requirements may result in increased demands or requirements regarding components of our products and their environmental impact on sustainability. Complying with these demands or requirements could cause us to incur additional manufacturing, operating or product development costs.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may become subject to new compliance requirements and/or new costs or taxes associated with natural resource or energy usage and related emissions (such as a “carbon tax”), which could increase our operating costs. All of these factors could result in additional costs and devoting additional resources to monitor, report and implement various corporate responsibility practices.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do not adapt to or comply with new regulations, or fail to meet evolving investor, industry or stakeholder expectations and concerns regarding ESG issues, investors may reconsider their capital investment in our Company, which could have a material adverse effect on our business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and trade secrets to protect the intellectual property related to our proprietary technologies. Our success depends significantly on our ability to obtain and maintain intellectual property protection with respect to our technology and products. Patents and other proprietary rights provide uncertain protections, and we may be unable to protect our intellectual property for reasons including those that result from complex factual and legal issues such as those that create uncertainty as to the validity, scope and enforceability of any particular patent that we hold or for which we have applied. As a result, we may be unsuccessful in defending our patents and other proprietary rights against third-party challenges, which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and contractors, and confidentiality agreements with parties with whom we conduct business, in order to limit access to, and the disclosure and use of, our proprietary information. However, we may not be successful in executing these agreements with every party who has access to our confidential information or contributes to the development of our intellectual property. In addition, those agreements that we do execute may be breached, and we may not have adequate remedies for any such breach. Further, these contractual arrangements would not prevent independent development of similar intellectual property by others.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are attempting to obtain patent coverage for our technology where available and where we believe appropriate, there are aspects of the technology for which patent coverage may never be sought or received. Additionally, we have obtained, and may in the future obtain, certain intellectual property related to our technology from third parties, and we cannot be certain that such third parties took the necessary actions to maintain such rights or that the transfer of such rights to us was proper and effective. We may, as a result, be subject to claims challenging the ownership or enforceability of such rights. Furthermore, we may not possess the resources to, or for other reasons may not choose to, pursue patent protection on every invention or in any or every country where we may eventually decide to sell our future products. Our ability to prevent others from making or selling duplicate or similar technologies will be impaired for those technologies with respect to which, and in those countries where, we have no patent protection. In addition, there is no assurance that all potentially relevant prior art relating to our patents and patent applications has been found, which can prevent a patent from issuing from a pending patent application or later invalidate or narrow the scope of an issued patent. Even if patents do successfully issue and even if such patents cover our technology,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our technology.</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for patents that we do issue based on our applications or future applications, any issued patents may not provide us with any competitive advantages. Competitors may be able to design around our patents and develop products that provide outcomes comparable or superior to ours. Any changes we make to our product or any future products, including designs that may be required for commercialization or that cause them to have what we view as more advantageous properties, may not be covered by patents and patent applications we have licensed or own, and we may be required to file new applications and/or seek other forms of protection for any such altered products if any such protection is available. In addition, the patent prosecution process is expensive, time-consuming and complicated, and we and our current or future licensors, licensees or collaborators may not be able to prepare, file, prosecute and maintain all necessary or desirable patents or patent applications at a reasonable cost or in a timely manner. It is also possible that we or our current or future licensors, licensees or collaborators will fail to identify patentable aspects of inventions before it is too late to obtain patent protection for them. In addition, if we choose to and are able to secure patent protection in countries outside the U.S., the laws of some foreign countries may not protect our intellectual property rights to the same extent as do the laws of the United States. For instance,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and enforce our intellectual property rights, and more generally could affect the value of our intellectual property. Our efforts to seek patent protection for our technology could be negatively impacted by any such changes, which could have a material adverse effect on our existing patent rights and our ability to protect and enforce our intellectual property in the future.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come to believe that third parties are infringing on, or otherwise violating, our patents or other proprietary rights. To prevent infringement or unauthorized use, we may need to file infringement and/or misappropriation suits, which are very expensive and time-consuming, could result in meritorious counterclaims against us and would distract management’s attention. Also, in an infringement or misappropriation proceeding, a court may decide that one or more of our patents is invalid, unenforceable, or both, in which case third parties may be able to use our technology without paying license fees or royalties. Even if the validity of our patents is upheld, a court may refuse to stop the other party from using the technology at issue on the grounds that the other party’s activities are not covered by our patents.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to protect our technology; however, the policies we use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may be unexpected. In addition, courts outside the United States are sometimes less willing to protect trade secrets. Moreover, our competitors may independently develop knowledge, methods and know-how that allow them to create substantially similar products or services without misappropriating our trade secrets. If we are unable to protect our trade secrets, we may be unable to prevent competitors from using our own inventions and intellectual property to compete against us, and our business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future products for an adequate amount of time.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future products are obtained, once the patent life has expired, we may be open to competition from competitive products.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products, patents protecting our future products might expire before or shortly after we or our future partners commercialize those products. As a result, our owned and licensed patent portfolio may not provide us with sufficient rights to exclude others from commercializing products similar or identical to ours for a sufficient amount of time, and, as a result, we may not be able to obtain adequate protection from our patent portfolio against competition, in spite of the time and effort invested in the commercialization of our future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technology or our future products or the sale or use of our future products infringe the patents or other intellectual property rights of third parties could result in costly litigation or could require substantial time and money to resolve, even if litigation is avoided.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our industry is characterized by competing intellectual property, we may be subject to legal actions for violating the intellectual property rights of others, including claims that former employees, collaborators or third parties have an interest in our patents, trade secrets or other intellectual property. For example, we may have inventorship or ownership disputes arising from conflicting obligations of employees, consultants or others who are involved in developing our technology or our products.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may be required to participate in interference, derivation or opposition proceedings that concern disputes regarding priority of inventions disclosed in our patents. Determining whether a product infringes a patent,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medical imaging technologies), our competitors or other third parties may assert that our technology and the methods we employ in the use of products incorporating our technology are covered by United States or foreign patents held by them. In addition, because patent applications can take many years to issue and because publication schedules for pending applications vary by jurisdiction, there may be applications now pending of which we are unaware, and which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number of competitors in the market for medical imaging technologies increases, and as the number of patents issued in this area grows, the possibility of patent infringement claims against us increases. Some of our competitors may be able to sustain the costs of complex patent litigation more effectively than we can, including if they have substantially greater resources. Defending against such litigation is costly and time consuming, and would distract our management from our business. In addition, any uncertainties resulting from the initiation and continuation of any litigation could have a material adverse effect on our ability to raise the funds necessary to continue our operations.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were unable to obtain a license or successfully redesign, we might be prevented from selling our technology or other future products. If we are able to redesign, we may need to invest substantial resources in the redesign process. If there is an allegation or determination that we have infringed the intellectual property rights of a competitor or other person, we may be required to pay damages, or a settlement or ongoing royalties, or we may be required to enter into cross-licenses with our competitors. In any of these circumstances, we may be unable to sell our products at competitive prices or at all, and our business, financial condition, results of operations and prospects could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our ordinary shares. If securities analysts or investors perceive these results to be negative, it could have a material adverse effect on the price of our ordinary shares.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if we or our future licensors do not comply with these requirements.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 patent and patent application are due to be paid to the patent offices and agencies in several stages over the lifetime of the patent and patent application. The U.S. Patent and Trademark Office and various foreign governmental patent agencies require compliance with a number of procedural, documentary, fee payment and other similar provisions during the patent application process. In certain circumstances, we may be required to rely on our licensing partners to take the necessary action to comply with these requirements with respect to patents or other intellectual property they have licensed to us. While an inadvertent lapse can in many cases be cured by payment of a late fee or by other means in accordance with the applicable rules, there are situations in which noncompliance, which could include failure to respond to official actions within prescribed time limits, non-payment of fees and failure to properly legalize and submit formal documents, can result in abandonment or lapse of the patent or patent application, resulting in partial or complete loss of patent rights in the relevant jurisdiction. In such an event, our competitors may be able to enter the market and compete with our products, which would have a material adverse effect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advisers have wrongfully used or disclosed alleged trade secrets of their former employers or claims asserting ownership of what we regard as our own intellectual property.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and advisers, including our senior management, were previously employed at other companies that may have proprietary rights related to our business. Some of these employees, consultants and advisers, including members of our senior management,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any such individual’s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and being enjoined from conducting our business as contemplated. Even if we are successful in defending against such claims, litigation could result in substantial costs and be a distraction to management.</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and/or such provisions may not be effective. If these provisions prove to be ineffective, we may not be able to achieve our business objectives. If we or our licensors fail in defending any such claims, we may have to pay monetary damages and may lose valuable intellectual property rights, such as exclusive ownership of, or right to use, intellectual property, which could adversely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registered and unregistered trademarks or trade names are valuable assets and may be challenged, infringed, circumvented, declared generic, or determined to infringe third-party marks. We may not be able to protect our rights to these trademarks and trade names, which are necessary to build name recognition among potential collaborators or customers in our markets of interest. Competitors may adopt trade names or trademarks similar to ours, thereby impeding our ability to build brand identity and possibly leading to market confusion. For example, the Sheba Fund for Health Services and Research filed four trademark applications for the word “ARC” and three additional logos; Intel Corporation filed a trademark application for the word “ARC” with the Israeli Patent Office; and Arcreal Inc. filed a trademark application for the word “ARC SCAN” with the Israeli Patent Office. These applications were published for possible opposition, and the Company filed oppositions, claiming that the marks are confusingly similar to its own trademark. The Company has signed co-existence agreements with each of them. In addition, there could be potential trade name or trademark infringement claims brought by owners of other trademarks or trademarks that incorporate variations of our unregistered trademarks or trade names. We have not conducted any registrability studies for possible future trademarks to assess whether such marks would be successfully registered. Over the long term, if we are unable to establish name recognition based on our trademarks and trade names, we may not be able to compete effectively, and our business may be adversely affected. Furthermore, we may license our trademarks and trade names to third parties, such as distributors. Although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adversely affecting our competitive position, business, financial condition, results of operations, and prospects.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may be subject to the terms and conditions of licenses and sublicenses granted to us by third parties.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licenses and sublicenses to certain patent rights and other intellectual property from third parties that are important or necessary to the development of our products, including the software modules that we expect to integrate into the Nanox.CLOUD. These and other licenses may not provide exclusive rights to use such intellectual property in all relevant fields of use and in all territories in which we may wish to develop or commercialize our products and the underlying patents may fail to provide the intended exclusivity. As a result, we may not be able to prevent competitors from developing and commercializing competitive products in the markets that we hope to address. Moreover, we would not own at least some of the underlying intellectual property rights related to these products, and as a result our rights would be subject to the continuation and compliance with the terms of those agreements. If such in-licenses were terminated, competitors would have the freedom to develop, seek regulatory approval of, and to market, products similar or identical to ours.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these license agreements may not grant us the right to control the preparation, filing, prosecution or maintenance of patents and patent applications covering our products. Therefore, we cannot be certain that these patents and patent applications will be prepared, filed, prosecuted or maintained in a manner consistent with the best interests of our business. If our current or future licensing partners fail to file, prosecute or maintain such patents, including the payment of applicable fees, or otherwise lose rights to those patents or patent applications, the intellectual property we have licensed or exclusivity we have been granted may be reduced or eliminated, and our right to develop and commercialize any of our future products that are subject of such licensed rights, and our ability to prevent competitors from developing or commercializing such products, could be adversely affected. In addition, even where we have the right to control patent prosecution and maintenance of patents and patent applications we have licensed from third parties, we may still be adversely affected or prejudiced by actions or inactions of our licensees, our licensors and their counsel that took place prior to the date upon which we assumed control over patent prosecution.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such license agreements, the licensors may also have the right to control enforcement of our licensed patents or defense of any claims asserting the invalidity or unenforceability of these patents. Even if we are permitted to pursue the enforcement or defense of our licensed patents, we may require the cooperation of our future licensors or collaboration partners and any other applicable patent owners and we cannot be certain that such cooperation will be provided to us. We also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we lose any of our licensed intellectual property, our right to develop and commercialize any of our products that are subject of such licensed rights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future licensors may rely on third-party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technologies. In addition, if our licensors have not obtained adequate rights from these third parties, we may need to obtain additional rights from these third parties or we could be prevented from developing and commercializing the related products. This could have a material adverse effect on our competitive position, business, financial conditions, results of operations and prospects.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in which event we may have to cease developing, manufacturing or marketing any product covered by these agreements and we may face other additional penalties or be required to grant our licensors additional rights.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certain milestones and royalties and fulfill other obligations under our license agreements with third-party licensors.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 required to pay milestones and royalties related to our development or commercialization activities of our products utilizing the technologies licensed or sublicensed from third parties under license agreements we may enter into with them. These payments could adversely affect our overall profitability related to any future products that we may seek to develop or commercialize. In order to maintain our license rights under our license agreements, we may need to meet certain specified milestones or fulfill certain obligations, including to devote a certain amount of resources, in the development of our products. In addition, we may be required to pay certain percentages of our revenues, relating to certain supply agreements we are party to. Failure to satisfy such obligations could result in the termination of our rights under such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choose to license our technology to third parties, this could result in disputes or otherwise limit our future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in the future, as one of our strategies, deploy our technology into the market and license patents and other intellectual proprietary rights to third parties. Disputes with our licensees may arise, including regarding the scope and content of these licenses. Additionally, a licensee may use our intellectual property without our permission, dispute our ownership of certain intellectual property rights or argue that our intellectual property does not cover our product. Regardless of whether we pursue legal action to enforce any such dispute, a dispute with a licensee or customer over intellectual property rights may damage our relationship with that licensee or customer and may also harm our reputation in the industry. Our ability to expand into additional fields with our technologies also may be restricted by licenses or other rights we may grant to third parties in the future, including if the licenses are exclusive, the licensee is assigned ownership of intellectual property that we develop or rights of first negotiation or refusal are granted.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(the “Committee”), a body constituted under the Patent Law, shall determine whether the employee is entitled to remuneration for his or her inventions. An employee may waive the right to receive consideration for “service inventions” and case law has held that in certain circumstances, such waiver does not necessarily have to be explicit. The Committee will examine, on a case-by-case basis, the general contractual framework between the parties in accordance with general Israeli contract law. Further, there is no specific formula for calculating this remuneration. Although we generally enter into assignment-of-invention agreements with our employees pursuant to which such individuals assign to us all rights to any inventions created in the scope of their employment or engagement with us, we may still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Generally, our manufacturing operations for medical devices, and those of our third-party manufacturers, are required to comply with federal and state regulations for medical devices and radiation-emitting products, which includes the requirement to conduct tests in each state in order to obtain regulatory approvals for use of our devices in such state. The Nanox.ARC and the Nanox.ARC X (including the Nanox.CLOUD) and other future products we develop are regulated by the FDA as medical devices. Our product candidate is subject to extensive regulation in the United States and elsewhere, including by the FDA and its foreign counterparts, the U.S. Department of Justice (the “DOJ”) and the U.S. Department of Health and Human Services-Office of the Inspector General. The FDA and foreign regulatory agencies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and approval; conformity assessment procedures; record keeping procedures; advertising and promotion; recalls and field safety corrective actions; post-market surveillance, including reporting of deaths or serious injuries and malfunctions that, if they were to occur, could lead to death or serious injury; post-market approval studies; and product import and export.</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AI imaging solutions are regulated as software as a medical device. Modifications to indications, algorithms, inputs, training data or performance claims may require new regulatory submissions, and authorities may disagree with our assessment of whether a change is “significant.” We may be required to produce additional clinical evidence, including site-specific validation or post-market performance monitoring. Limitations on adaptive or continuously learning algorithms may constrain product updates or require burdensome change-control processes.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regulations our product candidate is subject to are complex and have tended to become more stringent over time. Regulatory changes could result in restrictions on or additional requirements affecting our ability to develop our products, carry on or expand our operations, higher than anticipated costs or lower than anticipated sales for any approved product. Failure to comply with applicable regulations could jeopardize our ability to sell our future products, following receipt of clearance from the FDA, and if cleared or approved in other jurisdictions, and result in enforcement actions such as: warning or untitled letters; fines; injunctions; consent decrees; civil penalties; customer notifications; termination of distribution; recalls or seizures of products; administrative detention of medical devices believed to be adulterated or misbranded; delays in the introduction of products into the market; operating restrictions; total or partial suspension of production; refusal to grant future clearances or approvals for new products, new intended uses or modifications to our products; withdrawals or suspensions of current approvals, resulting in prohibitions on sales of our products; and in the most serious cases, criminal prosecution or penalties. The occurrence of any of these events would have a material adverse effect on our business, financial condition and results of operations and could result in shareholders losing their entire investment.</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products are subject to extensive, evolving and sometimes inconsistent regulatory requirements across multiple jurisdictions, and our failure to obtain, maintain or comply with required approvals, certifications, licenses, permits and other regulatory obligations could materially harm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develop, market and operate medical imaging hardware and radiation-emitting products, cloud-connected software and AI-enabled solutions, and we provide related services in the United States and internationally. As a result, we and our products, our manufacturing and quality systems, and certain aspects of our commercial and service activities are subject to complex and stringent requirements administered by the FDA and other U.S. federal and state authorities, the Israeli Ministry of Health and other Israeli authorities, and regulatory bodies in the EU and other jurisdictions, as well as additional country, region and, in certain cases, state or province-specific rules. These requirements apply to, among other things, premarket submissions and clearances/approvals, labeling and promotion, radiation safety, quality systems and manufacturing controls, post-market surveillance and adverse event reporting, field corrective actions and recalls, cybersecurity and software change control, clinical evidence generation, import/export controls, and facility and personnel licensure and permits. Regulatory frameworks applicable to medical devices, software as a medical device and AI-enabled healthcare technologies are evolving rapidly, subject to differing interpretations, and may diverge across jurisdictions over time. In addition, certain jurisdictions may impose requirements that are more burdensome than those in the United States (including additional clinical evidence, conformity assessment steps, local representation or data localization requirements), and regulatory actions, delays or denials in one jurisdiction may negatively affect regulatory pathways, business plans, timelines or market access in other jurisdictions.</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Even where we have obtained regulatory clearances, approvals or certifications for certain products or product features in particular jurisdictions, we may not be able to obtain, maintain, expand or renew required authorizations in the same or other jurisdictions on a timely basis or at all. For example, in the United States we may be required to obtain and maintain FDA clearance or approval (including, depending on the product and indication, 510(k) clearance, De Novo classification or premarket approval) for new products, new uses, enhancements or other changes, and regulators may disagree with our assessment of whether a modification is “significant” and requires a new submission, additional testing or new clinical evidence. We also may be required to obtain and maintain additional licenses, registrations, permits or approvals at the state level for the installation, operation, servicing or use of imaging systems and radiation-emitting products, and these requirements can vary and change over time. Similarly, in the EU and other international markets, we may be required to obtain and maintain CE marking or other country-specific registrations, approvals or certifications, and such authorizations may be conditioned on ongoing compliance obligations (including audits, surveillance activities and technical documentation updates) and may be affected by changes in the applicable regulatory regime or the position of the applicable regulatory body or conformity assessment organization. Continued CE marking, in particular, is contingent on successful periodic surveillance audits of our quality system by our Notified Body or registrar, and any loss, suspension or non-renewal of such certification would prevent us from selling the affected products in the European Economic Area. In addition, certain non-U.S. jurisdictions require costly and time-consuming product re-registration whenever a device is modified, which may delay our ability to deploy product improvements internationally and could cause customers in those markets to shift to competitors whose products are not subject to the same re-registration process. If we are unable to obtain or maintain required approvals or clearances, or if we experience delays in doing so, we could be unable to commercialize products or features, expand into targeted markets, or continue offering certain products or services, and our growth strategy could be materially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Regulatory requirements in our industry also tend to become more stringent over time, and legislative or regulatory reforms, new guidance, enhanced enforcement approaches, geopolitical developments, or changes in governmental funding or policy priorities may increase compliance costs, extend review timelines, require costly operational or product changes, or restrict the manner in which we may market, sell, service, deploy or update our products. In particular, evolving requirements applicable to connected devices, software, cybersecurity, data protection, cross-border data transfers, and AI governance may require us to modify our products, data practices, documentation, validation methods, quality systems and post-market monitoring programs, and may limit our ability to iterate and deploy product improvements on timelines that support our commercial objectives. Regulatory divergence across jurisdictions may require us to design, maintain and support multiple product configurations, labeling sets, quality and documentation packages, monitoring workflows and contracting approaches simultaneously, which can increase complexity and cost and heighten the risk of non-compliance.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our contract manufacturers, suppliers, distributors or other partners fail to comply with applicable laws, regulations or authorizations, or if regulators determine that our products, manufacturing processes, quality systems, marketing practices or post-market activities do not satisfy applicable requirements, we could be subject to significant adverse consequences. Because compliance by our contract manufacturers and component suppliers with the FDA’s Quality System Regulation and equivalent international standards (including ISO 13485) is a prerequisite to obtaining and maintaining our clearances, approvals and certifications, non-compliance by these third parties could independently jeopardize our authorizations and result in production shutdowns, denial of U.S. importation rights for products manufactured outside the United States, and denial of export rights for products manufactured in the United States. These consequences may include warning letters or other enforcement communications, fines and civil penalties, injunctions or consent decrees, increased monitoring or reporting obligations, product holds, import/export restrictions, withdrawal, suspension or non-renewal of clearances, approvals or certifications, mandated or voluntary field corrective actions or product recalls, restrictions on manufacturing or distribution, suspension of operations in one or more jurisdictions, and, in the most serious cases, criminal sanctions. Any such enforcement action, or even the perceived risk of regulatory non-compliance, could result in reputational harm, increased operating and compliance costs, delayed product introductions, reduced sales, contractual disputes, increased insurance and warranty exposure, and diversion of management attention, any of which could materially harm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or approvals for our future products, and failure to timely obtain necessary clearances or approvals for our future products would adversely affect our ability to grow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(the “FDCA”) or approval of a pre-market approval application (a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generally much more costly and uncertain than the 510(k) clearance process and generally takes from one to three years, or even longer, from the time the application is submitted to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or other restrictions or requirements, which may limit the market for the device.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continue to implement a multi-step approach to the regulatory clearance process. On April 28, 2023, we received a 510(k) clearance from the FDA to market the Nanox.ARC (including the Nanox.CLOUD), a multi-source Nanox.ARC 3D digital tomosynthesis system, as a stationary X-ray system intended to produce tomographic images of the human musculoskeletal system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In April 2025, we received a 510(k) clearance from the FDA for the Nanox.ARC X,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In February 2026, we received a 510(k) clearance from the FDA for TAP2D, a new cloud enabled image enhancement capability for the Nanox.ARC and Nanox.ARC X. In the future, we plan to seek additional clearances or approvals from the FDA for additional uses of the currently cleared Nanox System, or for future versions of the Nanox System.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early stages of commercializing the FDA-cleared Nanox.ARC, the Nanox.ARC X, and the Nanox.CLOUD as the Nanox System, and we may also commercialize one or more future versions of our Nanox System, once cleared or approved. Any modification to these systems that has not been previously cleared may require us to submit a new 510(k) premarket notification and obtain clearance, or submit De-novo or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De-novo or a PMA. The FDA requires every manufacturer to make this determination in the first instance, but the FDA may review any manufacturer’s decision. The FDA may not agree with our decisions regarding whether new clearances or approvals are necessary.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including new or additional clinical trial requirements, product introductions or modifications could be delayed or canceled, which could adversely affect our ability to grow our business.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medical device for many reasons, including:</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 candidates are safe or effective for their intended uses or are substantially equivalent to a predicate device;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such as those implemented or proposed by the current Trump administration, payment of user fees and reauthorization of user fee programs and ability to hire and retain key personnel, as well as statutory, regulatory and policy changes, and average review times at the FDA have fluctuated in recent years as a result.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order to sell our products in member countries of the European Economic Area (“EEA”), our products must comply with the essential requirements of the EU Medical Devices Regulation (EU) 2017/745. Compliance with these requirements is a prerequisite to be able to affix the Conformité Européene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 European Community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audit the quality system of the manufacturer and manufacturing sites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 On February 25, 2025, we received the CE mark certification to market the multi-source Nanox.ARC system, including the Nanox.CLOUD, its accompanying cloud-based infrastructure. Nanox.ARC is a stationary X-ray system, intended to generate tomographic images of human anatomy from a single tomographic sweep performed in recumbent positions of adult patients.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affix the CE mark, which would prevent us from selling them within the EEA.</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Even though we received clearances from the FDA and CE mark to market the Nanox.ARC (including the Nanox.CLOUD), and clearances from the FDA to market the Nanox.ARC X (including the Nanox.CLOUD), and if we receive regulatory clearance or approval of other future products, we remain subject to ongoing and pervasive regulatory requirements governing, among other things, the manufacture, marketing, advertising, medical device reporting, sale, promotion, import, export, registration, and listing of devices. For example, we are required to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or approval to market a device, we have ongoing responsibilities under FDA regulations and applicable foreign laws and regulations. The FDA, state and foreign regulatory authorities have broad surveillance and enforcement powers. Our failure to comply with applicable regulatory requirements could result in enforcement action by the FDA, state or foreign regulatory authorities, which may include any of the following sanctions:</w:t>
      </w:r>
    </w:p>
    <w:p>
      <w:pPr>
        <w:spacing w:after="0" w:line="18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marketing authorizations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product clearances or approvals, resulting in prohibitions on sales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FDA or state or foreign authorities may change their clearance and approval policies, adopt additional regulations or revise existing regulations, or take other actions, which may prevent or delay clearance or approval of our future products under development on a timely basis. Such policy or regulatory changes could impose additional requirements upon us that could delay our ability to obtain new clearances or approvals, increase the costs of compliance or restrict our ability to maintain any approvals we are able to obtain. For example, the FDA has announced steps that the FDA intends to take to modernize the premarket notification pathway under Section 510(k) of the FDCA. For more information, see “—Legislative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could be forced to recall our devices or terminate production if we fail to comply with these regulations.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As manufacturers of electron radiation-emitting products, we are also responsible for compliance with the radiological health regulations and certain radiation safety performance standards.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state or foreign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relating to data protection, or any actual or perceived failure by us to comply with such laws and regulations or our privacy policies, could materially and adversely affect our business or could lead to government enforcement actions and significant penalties against us, and adversely impact our operating results.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Compliance with continuously evolving privacy laws and regulations, including laws and regulations governing processing of personal information, and our actual or perceived failure to comply with such laws and regulations may result in significant liability, negative publicity, and/or erosion of trust and could have an adverse effect on our revenues, our results of operations and financial condition.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receive health information and other highly sensitive or confidential information and data of patients and other third parties (e.g., healthcare providers who refer patients for scans), which we compile and analyze. While we have adopted measures to ensure that any such data will be transferred to us, to the extent possible, in a de-identified or anonymized manner, collection and use of this data may still raise privacy and data protection concerns, which could negatively impact our business. There are numerous federal, state and international laws and regulations regarding privacy, data protection, information security, and the collection, storing, sharing, use, processing, transfer, disclosure, and protection of personal information and other data. These laws and regulations are becoming more complex and/or prevalent in the United States, Europe, Israel, and elsewhere. The regulatory framework for privacy and data protection worldwide is, and is likely to remain for the foreseeable future, uncertain and complex, and this or other actual or alleged obligations may be interpreted and applied in a manner that we may not anticipate or that is inconsistent from one jurisdiction to another and may conflict with other rules or practices including ours. Further, any significant change to applicable laws, regulations, or industry practices regarding the collection, use, retention, security, or disclosure of data, or their interpretation, or any changes regarding the manner in which the consent of relevant users for the collection, use, retention, or disclosure of such data must be obtained, could increase our costs and require us to modify our services and products, possibly in a material manner, which we may be unable to complete, and may limit our ability to store and process patients’ data or develop new services and features.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particular, there have been laws and regulations adopted throughout the United States and in Israel that impose new obligations in areas such as privacy. In the United States, privacy and data security laws are also complex and changing rapidly. Further, laws in all 50 states require businesses to provide notice to consumers whose personal information has been disclosed as a result of a data breach, under certain circumstances, and compliance with them in the event of a widespread data breach is complex and costly. Both federal and state legislation, U.S. Congress and individual states also govern the collection, use and other processing of personal data. For example, the California Consumer Privacy Act (CCPA), which took effect on January 1, 2020, and was further expanded by the California Privacy Rights Act (CPRA), which took effect on January 1, 2023, is one of the broadest U.S. state privacy laws. It imposes heightened transparency obligations about data collection, use, and sharing practices, adds restrictions on the transfer of personal information to third parties including for advertising or analytics purposes and grants data privacy rights to consumers. Following the Californian example, various U.S. states have passed, or are in the process of passing, similar state privacy laws. Non-compliance with state privacy laws could result in regulatory investigations and enforcement actions, private litigation (including class actions), significant fines and remediation costs, operational restrictions, and reputational harm. Furthermore, on December 27, 2024, the Department of Justice issued a “Final Rule” to implement the Executive Order (E.O.) 14117 “Preventing Access to Americans’ Bulk Sensitive Personal Data and United States Government-Related Data by Countries of Concern” (“Rule”). This Rule came into effect on April 8, 2025, with certain affirmative due diligence, reporting, and auditing requirements having taken effect on October 6, 2025. The Justice Department established and implemented a new regulatory program to address the urgent and extraordinary national security threat posed by the continuing efforts of countries of concern (and covered persons that they can leverage) to access and exploit Americans’ bulk sensitive personal data (such as health data) and certain U.S. Government-related data. This presents new risks for companies operating globally, including potential requirements to implement additional compliance measures and controls, modify certain business practices and contractual arrangements, and devote additional management time and resources to due diligence, reporting and auditing obligations; failure to comply could result in regulatory action and increased compliance costs.</w:t>
      </w:r>
    </w:p>
    <w:p>
      <w:pPr>
        <w:spacing w:after="0" w:line="1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Most of the new U.S. regulations (including privacy state laws) exempt personal information which is subject to the HIPAA and HITECH regulations. Nonetheless, new legislation may affect our operations and business conduct, as it applies to our general conduct, marketing efforts and where we process data that is not health-related by nature (and, therefore, not subject to HIPAA), and may increase our compliance costs and potential liability.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obtain health information that is subject to privacy and security requirements under HIPAA and HITECH and its implementing regulations. The Privacy Standards and Security Standards under HIPAA establish a set of standards for the protection of individually identifiable health information by health plans, health care clearinghouses and certain health care providers, referred to as Covered Entities, and the business associates with whom Covered Entities enter into service relationships pursuant to which individually identifiable health information may be exchanged. As part of our normal operations, we collect, process and retain personal identifying information regarding patients, including as a Business Associate of Covered Entities under HIPAA. Therefore, we are subject to HIPAA, including changes implemented through HITECH, and we could be subject to criminal penalties if we knowingly obtain or disclose individually identifiable health information in a manner that is not authorized or permitted by HIPAA. A data breach affecting sensitive personal information, including health information, also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HIPAA requires Covered Entities (like many of our potential customers) and Business Associates, like us, to develop and maintain policies and procedures with respect to protected health information that is used or disclosed, including the adoption of administrative, physical and technical safeguards to protect such information. HITECH expands the notification requirement for breaches of patient-identifiable health information, restricts certain disclosures and sales of patient-identifiable health information and provides for civil monetary penalties for HIPAA violations. HITECH also increased the civil and criminal penalties that may be imposed against Covered Entities and business associates and gave state attorneys general new authority to file civil actions for damages or injunctions in federal courts to enforce HIPAA and its implementing regulations and seek attorney’s fees and costs associated with pursuing federal civil actions. Additionally, certain states have adopted comparable privacy and security laws and regulations, some of which may be more stringent or broader in scope than HIPAA. This includes the Washington State My Health My Data law (“My Health My Data Act”) effective as of March 31, 2024, with small business regulations effective as of June 30, 2024, as well as Nevada’s Consumer Health Data Privacy Law effective as of March 31, 2024.</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Another example of recent U.S. data security requirements is the Food and Drug Omnibus Reform Act (“FDORA”), enacted in December 2022, which, among other provisions, requires developers of certain “cyber devices” to design and implement plans to monitor, identify and address cybersecurity vulnerabilities of those devices and to submit those plans to the FDA as part of every new product application for a cyber device. “Cyber devices” are defined as devices that include software, connect to the internet, and contain any technological features that could be vulnerable to cybersecurity threats. This provision entered into effect on March 29, 2023, and the FDA expects sponsors of cyber devices to comply with these requirements as of October 1, 2023.</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Internationally, many jurisdictions have or are considering enacting privacy or data protection laws or regulations relating to the collection, use, storage, transfer, disclosure and/or other processing of personal data, as well as additional requirements for the hosting of health data specifically. For example, the European Union’s General Data Protection Regulation (2016/679) (“EU GDPR”) governs certain collection and other processing activities involving personal data about data subjects in the European Economic Area (“EEA”). The EU GDPR, supplemented by national laws and further implemented through binding guidance from the European Data Protection Board, imposes stringent European Union data protection requirements and provides for significant penalties for noncompliance, ranging from €10 million to €20 million or 2% to 4% of our annual global revenue, whichever is higher. In the UK, we are subject to the UK General Data Protection Regulation and the United Kingdom’s Data Protection Act 2018 (the “UK GDPR”), under which penalties for noncompliance range from £8.7 million to £17.5 million or 2% to 4% of our annual global revenue, whichever is higher. Our UK and EEA operations are exposed to two parallel regimes, each of which may subject us to increased compliance risk based on differing, and potentially inconsistent or conflicting, interpretation and enforcement by regulators and authorities. Given the EU GDPR and UK GDPR are separate regimes, fines could arise under each in respect of a single incident, to the extent it affects European Economic Area (EEA) and UK personal data.</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EU GDPR and the UK GDPR, our processing of health data and other highly sensitive data (referred to as “special category data” in those regulations) exposes us to further compliance risk. In certain cases we may be required to carry out records or processing activity mapping (“ROPA”) and prior to processing personal sensitive data from EEA or UK individuals, as well as to conduct a data protection impact assessment (“DPIA”) in connection with our high-risk processing activities and implement appropriate safeguards and mechanisms to ensure adequate protection of the personal data, in order to comply with GDPR/UK GDPR.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EU GDPR and the UK GDPR (collectively, the “GDPR”) includes restrictions on cross-border data transfers of personal data outside of the EEA and the UK (as applicable) to third countries. To ensure compliance with such restrictions, we rely on adequacy decisions by the European Commission, certifications under the EU-U.S. Data Privacy Framework (DPF) and its UK Extension, or the implementation of Standard Contractual Clauses (SCCs) and the UK Addendum, as applicable. However, each of these mechanisms carries legal uncertainty and operational risk. The DPF is already subject to legal challenges from privacy advocates, and there can be no assurance that it will not be invalidated in the future. The invalidation of the DPF would eliminate a key transfer mechanism we rely on and create legal and operational uncertainty. SCCs require us to conduct case-by-case “transfer impact assessments” to determine whether the laws in the recipient country (particularly regarding government surveillance) undermine the protections of the SCCs, and to implement supplementary technical and organizational measures where necessary. This process may be resource-intensive, and our assessments may be subject to challenge by European data protection authorities. Lastly, adequacy decisions are subject to regular review and may also be invalidated. Overall, the cross-border data transfer landscape in the EEA and UK is continually developing, and we are monitoring these developments. We may, in addition to other impacts, experience additional costs associated with increased compliance burdens and be required to engage in new contract negotiations with third parties that aid in processing data on our behalf or localize certain data.</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e-Privacy Directive (i.e. Directive 2002/58/EC) and national laws transposing it, as well as the GDPR in certain contexts impose conditions on obtaining valid consent for cookies, such as a prohibition on pre-checked consents and a requirement to ensure separate consents are sought for each type of cookie or similar technology. Recent European court decisions and regulators’ recent guidance are driving increased attention to cookies and tracking technologies and the online behavioral advertising ecosystem. This could lead to substantial costs, require significant systems changes, limit the effectiveness of our marketing activities, divert the attention of our technology personnel, adversely affect our margins, increase costs and subject us to additional liabilities. In addition,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Finally, the current national laws that implement the e-Privacy Directive are likely to be replaced across the EU (but not the UK) with a EU regulation known as the e-Privacy Regulation which, though still in development, will if adopted, impose new obligations on the use of personal data in the context of electronic communications, particularly in relation to online tracking technologies, and significantly increase regulators’ ability to impose fines for non-compliance. Additionally, the U.S. has recently seen an increase in claims and litigation based on the California Invasion of Privacy Act (CIPA) and the Electronic Communications Privacy Act (ECPA) in regard to tracking tools such as cookies and similar technologies. This trend exposes companies to potential statutory damages, class action lawsuits, and reputational harm.</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Virtually every jurisdiction in which we expect to operate has established its own data security and privacy legal framework with which we must, and our target customers will need to, comply, including the rules and regulation mentioned above. We may also need to comply with varying and possibly conflicting privacy laws and regulations in other jurisdictions. As a result, we could face regulatory actions, including significant fines or penalties, adverse publicity and possible loss of business. Our teleradiology operations transmit and store cross-border imaging data for reads in the U.S. and six additional countries; inconsistent requirements for data minimization, patient consent, data localization, and secondary use for AI training may increase operational complexity, limit data availability needed to maintain and improve algorithm performance, and expose us to regulatory investigations and penalties in multiple jurisdictions.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Israeli Privacy Protection Law, 1981 (“PPL”), and its regulations, including but not limited to the Israeli Privacy Protection Regulations (Data Security), 2017 (“Security Regulations”), as well as the guidelines of the Israeli Privacy Protection Authority (“PPA”), impose obligations regarding the processing, maintenance, disclosure, transfer, and security of personal data. In addition, the Privacy Protection Regulations (Provisions Regarding Information Transferred to Israel from the European Economic Area), 2023 (“EU Regulations”), may, in certain cases, provide additional rights to data subjects from the EEA whose personal data is stored in databases located in Israel or whose personal data is stored together with such data.</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Material amendment to the PPL were approved by the Israeli Parliament in August 2024 and took effect on August 14, 2025 (“Amendment 13”). Among other things, Amendment 13 expands the Privacy Protection Authority investigation authority and the monetary sanctions that can be imposed for breach of the PPL and its regulations, that are significantly higher than those previously available and introduces additional obligations relating to the processing of personal data, including without suspicion of a breach of the PPL, and if it identifies irregularities in our compliance, may require the company to take remedial actions, which could increase our costs.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Therefore, significant changes to the PPL, its regulations, and the PPA guidelines may necessitate adjustments to our data protection and security practices.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Privacy Protection Regulations (Transfer of Data to Databases Outside the State Borders), 5761-2001 (the “Cross-Border Transfer Regulations”), restrict and impose conditions on the transfer of personal information from databases in Israel to locations outside Israel. These regulations may require us to implement additional contractual, technical, and organizational measures to enable such transfers and maintain compliance, which could increase our costs.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our use of AI tools in connection with the processing of personal information is subject to the PPL and may present unique privacy and information security challenges. We conduct ongoing compliance assessments and apply legal, technical, and operational controls designed to help ensure that our use of AI remains compliant with applicable laws and regulatory expectations.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Lack of compliance with the PPL, its regulations, and the PPA guidelines (including in connection with our AI-enabled solutions) could expose us to enforcement actions, litigation (including class actions), fines, and penalties (which, in some cases, may reach millions of NIS), and, in certain cases, criminal liability.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are preparing to implement various measures intended to enable us to comply with applicable privacy or data protection laws, regulations and contractual obligations, these measures may not always be effective and do not guarantee compliance. Any failure or perceived failure by us to comply with our contractual or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customers, partners or patients to lose trust in us, and otherwise materially and adversely affect our reputation and business. Furthermore, the costs of compliance with, and other burdens imposed by, the laws, regulations, and policies that are applicable to the businesses of our customers or partners may limit the adoption and use of, and reduce the overall demand for, our products and services. Additionally, if third parties we work with violate applicable laws, regulations, or agreements, such violations may put the data we have received at risk, could result in governmental investigations or enforcement actions, fines, litigation, claims, or public statements against us by consumer advocacy groups or others and could result in significant liability, cause our customers, partners or patients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measures, or to modify their enforcement or investigation activities, which may increase our costs and risks.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and promotion of our future products that obtains approval in the United States may be heavily scrutinized by the FDA, the DOJ, HHS, state attorneys general, members of Congress, and the public. In addition, advertising and promotion of any future product that obtains approval outside of the United States will be heavily scrutinized by comparable foreign regulatory authorities.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existing products are, and we expect our future products will be, cleared by the requisite regulatory authorities for specific indications. For example, on April 28, 2023, we received a 510(k) clearance from the FDA to market the Nanox.ARC (including the Nanox.CLOUD) as a stationary X-ray system intended to produce tomographic images of the human musculoskeletal system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In April 2025, we received a 510(k) clearance from the FDA for the Nanox.ARC X,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In February 2026, we received a 510(k) clearance from the FDA for TAP2D, a new cloud enabled image enhancement capability for the Nanox.ARC and Nanox.ARC X.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approved by any foreign regulatory body may not effectively treat such conditions, which could harm our reputation in the marketplace among healthcare providers and patients.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FDA or any state or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We may become subject to such actions and, if we are not successful in defending against such actions, those actions may have a material adverse effect on our business, financial condition and results of operations. Equivalent laws and potential consequences exist in foreign jurisdictions.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our products are cleared or approved, healthcare providers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the Nanox.ARC and the Nanox.ARC X (including the Nanox.CLOUD) received clearance from the FDA, 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other regulatory bodies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Physicians, other healthcare providers, and third-party payors will play a primary role with respect to any future products for which we obtain marketing approval. Our arrangements with third-party payors and customers may expose us to broadly applicable fraud and abuse and other healthcare laws and regulations that may constrain the business or financial arrangements and relationships through which we market, sell and distribute our product. Restrictions under applicable federal and state healthcare laws and regulations include the following:</w:t>
      </w:r>
    </w:p>
    <w:p>
      <w:pPr>
        <w:spacing w:after="0" w:line="180" w:lineRule="exact"/>
        <w:rPr>
          <w:sz w:val="20"/>
          <w:szCs w:val="20"/>
          <w:color w:val="auto"/>
        </w:rPr>
      </w:pPr>
    </w:p>
    <w:p>
      <w:pPr>
        <w:jc w:val="both"/>
        <w:ind w:left="660" w:hanging="328"/>
        <w:spacing w:after="0" w:line="25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healthcare program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federal healthcare programs such as Medicare and Medicaid.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including, without limitation, our proposed Subscription Model, and our advisory, consulting and royalty agreements with certain physicians who receive compensation, in part, in the form of stock or stock options.</w:t>
      </w:r>
    </w:p>
    <w:p>
      <w:pPr>
        <w:spacing w:after="0" w:line="19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several healthcare companies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left="6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as amended by the Health Information Technology for Economic and Clinical Health Act of 2009 (“HITECH”), imposes criminal and civil liability for knowingly and willfully executing a scheme to defraud any healthcare benefit program, or knowingly and willfully falsifying, concealing or covering up a material fact or making any materially false statement in connection with the delivery of or payment for healthcare benefits, items or services. In addition, HIPAA, as amended by HITECH, and their respective implementing regulations impose obligations, including mandatory contractual terms, on covered healthcare providers, health plans, as well as their business associates, with respect to safeguarding the privacy, security and transmission of individually identifiable health information.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 Sunshine Act, implemented as the Open Payments program, requires manufacturers of certain products reimbursed by Medicare, Medicaid, or the Children’s Health Insurance Program to track and report to the federal government payments and transfers of value that they make to physicians and teaching hospitals, certain other healthcare professionals, group purchasing organizations, and ownership interests held by physicians and their families, and provides for public disclosures of these data. Manufacturers are required to submit annual reports to the government and failure to do so may result in civil monetary penalties for all payments, transfers of value and ownership or investment interests not reported in an annual submission, and may result in liability under other federal laws and regulations.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prohibiting certain physician self-referrals, known as the Stark Law, prohibits a physician from referring Medicare or Medicaid patients to an entity for certain “designated health services” if the physician has a prohibited financial relationship with that entity, unless an exception applies. Certain radiology services are considered “designated health services” under the Stark Law.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adopted laws and regulations analogous to the federal laws cited above, including state anti-kickback and false claims laws, which may apply to items or services reimbursed under Medicaid and other state programs or, in several states, regardless of the payer. Several states have enacted legislation requiring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involve substantial costs. Additionally,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Exclusion, suspension and debarment from government funded healthcare programs would significantly impact our ability to commercialize, sell or distribute any product. If any of the physicians or other providers or entities with whom we expect to do business are found not to be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regulation of new and emerging technologies such as artificial intelligence.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have also been privacy bills enacted in other countries around the world which have introduced new or expanded privacy, security, cyber-security and AI requirements and we expect that legislation will continue to evolve in the coming years. For example, the rising adoption of AI and Generative AI in daily operations and products poses additional and new risks, including, without limitation, data privacy and security risks, intellectual property infringement, ownership issues and/or confidentiality issues. Threats include potential data leaks, social engineering attacks, and decision-making based on manipulated information. Growing regulatory requirements for information security and data protection add to the challenge. Therefore, it is difficult to determine whether and how such existing laws and regulations will apply to and impact the internet and our business. As a company that provides AI-based solutions and utilizes AI in our products and services, we are subject to regulatory and legal risks related to the use of AI. For example, we offer FDA cleared AI-based software imaging solutions to hospitals, health maintenance organizations, integrated delivery networks, marketplaces, pharmaceutical companies and insurers that are designed to identify or predict undiagnosed or underdiagnosed medical conditions, through the mining of data of existing CT scans. We have entered into collaboration agreements with marketplaces for access and distribution of our Nanox AI solutions, and agreements with IDNs and hospitals with respect to our AI imaging solutions. We currently offer AI imaging population health solutions aimed at identifying underlying findings, which are correlated to osteoporosis, cardiovascular disease and fatty liver to help detect patients at risk for more advanced liver disease such as NASH. In addition, we have begun to develop AI-based features to enhance the images generated by the Nanox System, with the goal of improving diagnostic capabilities for the Nanox System in chest and musculoskeletal imaging. Ultimately, we expect to integrate these AI imaging capabilities into the Nanox System. Subject to completion of the development and receipt of requisite regulatory approvals, we plan to offer these AI imaging solutions as an optional service to our MSaaS partners.</w:t>
      </w:r>
    </w:p>
    <w:p>
      <w:pPr>
        <w:spacing w:after="0" w:line="1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development, deployment and use of AI technologies are subject to a variety of evolving laws and regulations, which may differ across jurisdictions and may evolve over time. Our failure to comply with these laws and regulations could result in legal liability, regulatory enforcement actions, negative publicity and damage to our reputation. For example, the EU Artificial Intelligence Act (the “EU AI Act”), has entered into force on August 1, 2024. While the majority of its obligations are expected to take effect by 2026, provisions regulating prohibited AI practices and AI literacy came into effect on February 2, 2025, and provisions pertaining to general purpose AI models on 2 August 2025. The EU AI Act contains a list of prohibited practices, classifies certain AI systems as high risk, depending on the level of risk they pose, includes transparency obligations for providers and deployers of certain AI systems, and includes obligations on general purpose AI models. Fines for noncompliance range from (i) the higher of €35,000,000 or up to 7 percent of a company’s total worldwide annual turnover for non-compliance with prohibited AI practices, to (ii) the higher of €7,500,000 or up to 1 percent of a company’s total worldwide annual turnover for the supply of incorrect, incomplete, or misleading information to notified bodies and national competent authorities. Additionally, the AI Liability Directive and AI-specific amendments to the existing EU product liability regime will develop the liability regime for harm caused by the use of AI. Among other things, the EU AI Act may require us to implement additional quality assurance controls and measures to be reviewed and approved by regulatory submissions of our products. The cost to comply with such laws or regulations could be significant and could increase our operating expenses, require technical changes, development and implementations, which could adversely affect our business, financial condition and results of operations.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UK, government ministers are also planning to introduce a comprehensive AI bill in 2026, aiming, among others, at establishing an AI authority to oversee the regulatory approach to AI and regulating safety and copyright issues related to AI. Any additional costs and penalties associated with increased compliance, enforcement and risk reduction could make certain offerings less profitable or increase the difficulty of bringing certain offerings to market or maintaining certain offerings. This is equally true for the US, where on May 17, 2024, Colorado enacted the Colorado AI Act. The Colorado AI Act creates duties for developers and for those that deploy AI. There is a specific focus on bias and discrimination. The Act will go into effect on February 1, 2026.</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the EU Data Act, adopted on November 27, 2023, establishes rules for data sharing and reuse in the European Union, with most obligations effective from September 2025. It aims to enhance the EU’s data economy by improving data accessibility and usability, fostering innovation, and ensuring equitable value distribution among data economy participants. The EU Data Act empowers users of connected products—whether owned, leased, or rented—with greater control over the data they generate, while maintaining incentives for investments in data technologies. It also sets general conditions for data sharing between businesses and imposes measures to boost fairness and competition in the European cloud market such as requirements for cloud and edge computing services to facilitate interoperability and enable switching. Additionally, the EU Data Act safeguards companies from unfair contractual terms related to data sharing imposed by dominant market players. Compliance may require us to implement new data management protocols, technological development and changes of our semiconductors and review contractual practices, potentially increasing operational costs.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European Commission’s Digital Omnibus Proposal, published in November 2025, includes proposed amendments to certain EU laws and regulations, including (among others) the EU AI Act and the GDPR. However, the proposal remains at an early stage of the EU legislative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or approvals for our products, we will be unable to market and sell our products outside of the United States.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Approval procedures vary among countries and can involve additional testing. The time required to obtain approval outside of the United States may differ substantially from that required to obtain FDA approval. In addition, the FDA regulates exports of medical devices from the United States.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or approvals, can be expensive and time-consuming, and we may not receive regulatory clearances or approvals in each country in which we plan to market our products or we may be unable to do so on a timely basis. The time required to obtain registrations, clearances or approvals, if required by other countries, may be longer than that required for FDA clearance or approval, and requirements for such registrations, clearances or approvals may significantly differ from FDA requirements. If we modify our products, we may need to apply for additional regulatory clearances or approvals before we are permitted to sell the modified product. 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or approval by regulatory authorities in other countries, and registration, clearance or approval by one or more foreign regulatory authorities does not ensure registration, clearance or approval by regulatory authorities in other foreign countries or by the FDA. However, a failure or delay in obtaining registration or regulatory clearance or approval in one country may have a negative effect on the regulatory process in others.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are also subject to varying product standards, packaging requirements, labeling requirements, tariff regulations, duties and tax requirements.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the multi-source Nanox.ARC system, including the Nanox.CLOUD, is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are applied in Great Britain (England, Wales and Scotland), Northern Ireland and the EU after the Brexit transition period, which began January 1, 2021. Similarly, Switzerland has changed its relationship with the EU and since May 2022, medical device manufacturers are required,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new intended uses of CE marked medical devices falling outside the scope of the current CE Certificate require a completely new conformity assessment before the device can be CE marked and marketed in the EU for the new intended use. The process required to gather necessary information and draw up documentation in order to obtain CE Certification of a medical device in the EU can be expensive and lengthy and its outcome can be uncertain. On February 25, 2025, we received the CE mark certification to market the multi-source Nanox.ARC system, including the Nanox.CLOUD. We may make modifications to our products in the future that we believe do not or will not require notifications to our Notified Body or new conformity assessments to permit the maintenance of our current CE Certificate. If the competent authorities of the EU member states or our Notified Body disagree and require the conduct of a new conformity assessment, the modification of the existing CE Certificate or the issuance of a new CE Certificate, we may be required to recall or suspend the marketing of the modified versions of our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guidances intended to strengthen and modernize the premarket notification pathway under Section 510(k) of the FDCA. Among other things, the draft guidances recommend best practices for selecting a predicate device to encourage the evolution of safer and more effective medical devices in the 510(k) program and clarify when clinical data may or may not be needed to support a 510(k) submission.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in the case of applicable products, for manufacturers to compare the safety and performance of their medical devices to specific predicate devices in the clearance process. The FDA maintains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In particular, due to general uncertainty with respect to the current U.S. legal, regulatory and policy environment, and specifically regarding positions that the Trump administration may take regarding FDA regulations and policies, we are unable to predict the impact of any future legislative, regulatory or third-party actions with respect to these issues.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future products.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5, 2017, the European Parliament passed the Medical Devices Regulation (Regulation 2017/745),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Medical Devices Regulation will, however, only become applicable three years after publication (in 2020). Once applicable, the new regulations will, among other things:</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follow-up regarding the quality, performance and safety of devices placed on the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rules for the assessment of certain high-risk devices, which may have to undergo an additional check by experts before they are placed on the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modifications may have an effect on the way we conduct our business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laws and regulatory changes could adversely affect our products and financial condition.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past several years, the U.S. healthcare industry has been subject to an increase in governmental regulation, as well as judicial challenges, at both the federal and state levels. Efforts to control healthcare costs, including limiting access to care, alternative delivery models and changes in the methods used to determine reimbursement scenarios and rates, are ongoing at the federal and state government levels. From time to time, changes designed to contain healthcare costs have been implemented, some of which have resulted in decreased reimbursement rates for diagnostic imaging services that may impact our business or may otherwise affect our ability to commercialize or profitably sell any product candidates for which we obtain regulatory approval.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2010, former President Obama signed into law the Patient Protection and Affordable Care Act, and the Health Care and Education Reconciliation Act of 2010 (collectively, the “ACA”), which included measures that significantly changed the way healthcare is financed by both governmental and private insurers. While a primary goal of these healthcare reform efforts was to expand coverage to more individuals, it also involved additional regulatory mandates and other measures designed to constrain medical costs. The ACA significantly impacts the medical device industry. Among other things, the ACA:</w:t>
      </w:r>
    </w:p>
    <w:p>
      <w:pPr>
        <w:spacing w:after="0" w:line="183"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annual excise tax of 2.3% on any entity that manufactures or imports medical devices offered for sale in the United States, which, through a series of legislative amendments, was suspended, effective January 1, 2016 and subsequently repealed altogether on December 20, 2019;</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 new Patient-Centered Outcomes Research Institute to oversee and identify priorities in comparative clinical effectiveness research in an effort to coordinate and develop such research;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Implements Medicare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ACA and related healthcare reform laws, regulations and initiatives have significantly increased regulation of managed care plans and decreased reimbursement under Medicare managed care. Moreover, to alleviate budget shortfalls, states have at times reduced or frozen payments to Medicaid managed care plans. We cannot accurately predict the complete impact of these healthcare reform initiatives, but they could lead to a decreased demand for medical devices and other outcomes that could adversely impact our business and financial results.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and certain provisions have been subject to judicial and Congressional challenges. For example, a case challenging the ACA’s requirement that private insurers cover certain preventative services is currently pending before the U.S. District Court Judge for the Northern District of Texas. In March 2023, the judge struck down this requirement with immediate nationwide effect on March 30, 2023, and, on appeal, in June 2024 the U.S. Court of Appeals for the Fifth Circuit held, among other things, that the ACA’s requirement that group health plans and health insurance issuers cover certain preventative services without cost-sharing is unconstitutional. The parties have petitioned to appeal the case to the U.S. Supreme Court, which granted certiorari in January 2025. It is unclear when or how the Supreme Court will rule or how this decision and appeal, subsequent decisions and appeals, and other efforts to challenge, repeal or replace the ACA, or portions thereof, will affect our future products or our business. It is possible that the ACA, as currently enacted or as it may be amended in the future, and other healthcare reform measures that may be adopted in the future, could have an adverse effect on our industry generally and on our ability to commercialize our future products and achieve profitability. It is unclear how any such challenges and the healthcare reform efforts of the second Trump administration will impact ACA and our business. The implementation of new health care legislation could result in significant changes to the health care system, which could have a material adverse effect on our business, results of operations, financial condition and growth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or staffing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medical devices or modifications to cleared or approved medical devices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beginning in March 2020, the FDA postponed certain inspections of domestic and foreign manufacturing facilities. Since that time, the FDA has resumed on-site inspections of domestic and foreign manufacturing facilities; however, regulatory authorities within or outside the United States may adopt or resume similar restrictions or other policy measures in response to the COVID-19 pandemic or other global health concerns.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current Trump administration has implemented policies that may affect the FDA, including its review process, such as efforts to downsize the federal workforce, remove job elimination protections for federal workers, limit certain communications, and potentially interfere with user fee reauthorization. If political considerations or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In addition, funding of other government agencies that support research and development activities that pertain to FDA review, such as research to understand new technologies or establish new standards, is subject to the political process, which is inherently fluid and unpredictable.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at all or for a sufficient duration of time to prevent members of our management team from competing with us.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In Israel, if we cannot demonstrate that such an interest will be harmed, we may be unable to prevent our competitors from benefiting from the expertise of our former employees or consultants and our competitiveness may be diminished, and in the U.S., these regulatory changes may have similar effects, thus creating uncertainty regarding the proposed regulation and its effects on preserving our competitiveness.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attract and retain the highly skilled employees we need to support our planned growth.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continue to execute our business and our growth plan, we must attract and retain highly qualified personnel. Competition for these personnel is intense. We may not be successful in attracting and retaining qualified personnel. If we fail to attract new personnel or fail to retain and motivate our current personnel, our business, financial condition, results of operations and future growth prospects could be severely harmed.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employment and labor laws and regulations could materially and adversely affect our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 variety of federal and state employment and labor laws and regulations and other laws related to working conditions, wage-hour pay, over-time pay, employee benefits, anti-discrimination, and termination of employment. Noncompliance with applicable laws or regulations could subject us to investigations, sanctions, enforcement actions, disgorgement of profits, fines, damages, civil and criminal penalties, or injunctions. An adverse outcome in any such litigation could require us to pay contractual damages, compensatory damages, punitive damages, attorneys’ fees and costs. Claims, enforcement actions, or other proceedings could harm our reputation, business, financial condition and results of operations. We could be materially and adversely affected by any such litigation. In addition, responding to any action will likely result in a significant diversion of management’s attention and resources and an increase in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you may lose all or part of your investment.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for our shares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results of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 as well as announcements by us or our competitors of significant business developments, changes in relationships with our target customers, manufacturers or suppliers, acquisitions or expansion plans;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 as well as variance in our financial performance from the expectations of market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reports or short reports by securities analysts or other market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claims, litigation and investigations;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or other securities by us, our insiders or our other shareholders, or the perception that these sales may occur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political conditions in the United States or elsewhere.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particular, the market prices of pre-commercial-stage companies like ours have been highly volatile due to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technology and future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product’s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competitors’ technological innovations;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capital commitments, new technologies or patents;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transactions or collaborate with vendors in manufacturing our product;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for legislation that would place restrictions on the price of medical therapies.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ordinary shares to fluctuate substantially, regardless of our actual operating performance, which may limit or prevent investors from readily selling their ordinary shares and may otherwise negatively affect the liquidity of our ordinary shares. In addition, the stock market in general, and Nasdaq Global Market and emerging growth companies in particular, have experienced extreme price and volume fluctuations that have often been unrelated or disproportionate to the operating performance of these companies. Such broad market fluctuations, and other factors (such as variations in quarterly and yearly operating results, general trends in the medical imaging industry, and changes in state, federal or other applicable regulations affecting us and our industry) may adversely affect the market price of our ordinary shares, if a market for them develops.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when the market price of shares has been volatile, holders of those shares have instituted securities class action litigation against the company that issued the shares. If any of our shareholders brought a lawsuit against us, we could incur substantial costs defending the lawsuit. Such a lawsuit could also divert resources and the time and attention of our management.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certain requirements that apply to domestic issuers and we are permitted to follow certain home country corporate governance practices instead of applicable SEC and Nasdaq requirements, which may result in less protection than is accorded to shareholders under rules applicable to domestic issuers.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 of the Exchange Act requiring liability for insiders who profit from trades made in a short period of time and (3) the rules under the Exchange Act requiring the filing with the SEC of quarterly reports on Form 10-Q containing unaudited financial and other specified information, although we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as a foreign private issuer, we are permitted to follow certain home country corporate governance practices instead of those otherwise required under the listing rules of the Nasdaq Stock Market for domestic issuers. For instance, we follow home country practice in Israel with regard to, among other things, the director nomination procedure, approval of compensation of officers, and quorum at shareholder meetings. In addition, we follow our home country law, instead of the listing rules of the Nasdaq Stock Market, which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of the stock or assets of another company. As foreign private issuer we are also permitted to follow home country practice in Israel with regard to composition of the board of directors.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all of the above, you may not have the same protections afforded to shareholders of a company that is not a foreign private issuer.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applicable to U.S. domestic issuers. We will remain a foreign private issuer until our board determines that we no longer meet the qualification set forth in Securities Act Rule 405 and Exchange Act Rule 3b-4, with such determinations to be made on an annual basis as of the end of our second fiscal quarter. In order to maintain our current status as a foreign private issuer, either (a) a majority of our ordinary shares must be either directly or indirectly owned of record by non-residents of the United States or (b)(i) a majority of our executive officers or directors must not be U.S. citizens or residents, (ii) more than 50 percent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immediate plans to pay dividends.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plan to reinvest all of our future earnings, to the extent we have earnings, in order to develop and commercialize our technology and products and to cover operating costs, finance operations and to otherwise become and remain competitive. We have never declared or paid any dividends on our ordinary shares and we do not plan to pay any cash dividends with respect to our securities in the foreseeable future. As we are an initial launch-stage company with limited operating history, we may not be able to generate, at any time, sufficient surplus cash that would be available for distribution to the holders of our ordinary shares as a dividend. Therefore, you should not expect to receive cash dividends on the ordinary shares we are offering. Consequently, investors may need to rely on sales of their ordinary shares after price appreciation, which may never occur, as the only way to realize any future gains on their investment. In addition, the Companies Law imposes restrictions on our ability to declare and pay dividends. See “Item 8. Financial Information—A. Consolidated Statements and Other Financial Information—Dividend Policy” for additional information. Payment of dividends may also be subject to Israeli withholding taxes. See “Item “10. Additional Information—E. Taxation—</w:t>
      </w:r>
      <w:r>
        <w:rPr>
          <w:rFonts w:ascii="Times New Roman" w:cs="Times New Roman" w:eastAsia="Times New Roman" w:hAnsi="Times New Roman"/>
          <w:sz w:val="18"/>
          <w:szCs w:val="18"/>
          <w:i w:val="1"/>
          <w:iCs w:val="1"/>
          <w:color w:val="auto"/>
        </w:rPr>
        <w:t>Taxation of Our Shareholders—Dividends”</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that reports to the SEC and our management is required to devote substantial time to meet compliance obligations.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reporting to the SEC, we incur significant legal, insurance, director compensation, accounting and other expenses that we did not incur as a private company. We are subject to reporting requirements of the Exchange Act and the Sarbanes-Oxley Act, as well as rules subsequently implemented by the SEC that impose significant requirements on public companies, including requiring establishment and maintenance of effective disclosure and financial controls and changes in corporate governance practices. In addition, the Dodd-Frank Wall Street Reform and Consumer Protection Act (the “Dodd-Frank Act”) imposes various other requirements on public companies. There are significant corporate governance and executive compensation-related provisions in the Dodd-Frank Act that may increase our legal and financial compliance costs, make some activities more difficult, time-consuming or costly and may also place undue strain on our personnel, systems and resources. Our management and other personnel may need to devote a substantial amount of time to these compliance initiatives.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and expensive for us to attract and retain qualified people to serve on our board of directors, our board committees or as executive officers.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incur costs associated with corporate governance requirements, including requirements under rules implemented by the SEC and the Nasdaq Global Market, and provisions of Israeli corporate law applicable to public companies. These rules and regulations have and will continue to increase our legal and financial compliance costs, introduce costs such as investor relations and stock exchange listing fees, and make some activities more time-consuming and costly. Our board and other personnel continue to devote a substantial amount of time to these initiatives. To the extent we are not in compliance with the Companies Law or Nasdaq Global Market rules, we may be subject to additional costs or delisting. We are continuously evaluating and monitoring developments with respect to these rules, and we cannot estimate the amount of additional costs we may incur or the timing of such costs.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and devote increased management effort toward ensuring compliance with the auditor attestation requirements of Section 404 of the Sarbanes Oxley Act (and the rules and regulations of the SEC thereunder) because we no longer qualify as an “emerging growth company.” We cannot estimate the amount of additional costs we may incur as a result of being a public company or the timing of such costs.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and the related rules adopted by the SEC and the Public Company Accounting Oversight Board, our management is required to report on the effectiveness of our internal control over financial reporting. 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In addition, as we no longer qualify as an “emerging growth company” under the JOBS Act, our independent registered public accounting firm must attest to the effectiveness of our internal control over financial reporting under Section 404.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the market for our ordinary shares and the issuance of additional ordinary shares as a result of the exercise of our outstanding warrants and options will dilute the percentage ownership of our other shareholders.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certain of our shareholders are eligible to sell all or some of their ordinary shares by means of ordinary brokerage transactions in the open market pursuant to Rule 144, promulgated under the Securities Act, subject to certain limitations. In general, pursuant to Rule 144, non-affiliate shareholders may sell freely after six months subject only to the current public information requirement (which disappears after one year). Of the 69,590,228 ordinary shares outstanding as of December 31, 2025, approximately 68,686,070 ordinary shares have been registered under the Securities Act and are freely transferable by persons other than our “affiliates” without restriction or additional registration; the remaining shares outstanding have not been registered under the Securities Act and may be offered or sold only pursuant to an effective registration statement or pursuant to an available exemption from the registration requirements. As of December 31, 2025, approximately 69,380,548 of our ordinary shares were held by “non-affiliates” and are freely tradable without restriction pursuant to Rule 144. Any substantial sale of our ordinary shares pursuant to Rule 144 or pursuant to any resale prospectus may have a material adverse effect on the market price of our ordinary shares.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2025, there was one outstanding warrant to purchase a total of 2,142,858 ordinary shares, with exercise prices of $19.00 per share. As of December 31, 2025, there were 4,282,546 ordinary shares issuable upon the exercise of options to purchase ordinary shares outstanding under our 2019 Equity Incentive Plan (as defined below), at a weighted average exercise price of $14.88 per share, 140,629 outstanding restricted share units (“RSUs”), and 3,141,938 additional ordinary shares reserved for future issuance under our 2019 Equity Incentive Plan. The warrant is exercisable immediately and will expire on July 26, 2028. More convertible securities may be granted in the future to the Company’s officers, directors, employees or consultants or as part of future financings. The exercise of outstanding options and warrants will dilute the percentage ownership of the Company’s other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purchase price of the ordinary shares may not reflect our actual value.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 of our ordinary shares may not be indicative of our actual value or any future market price for our securities. This price may not accurately reflect the value of the ordinary shares or the value that potential investors will realize upon their disposition of ordinary shares. The price does not necessarily bear any relationship to our assets, earnings, book value per share or other generally accepted criteria of value.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equity research analysts discontinue research or reports about us or our business or if they issue unfavorable commentary or downgrade our ordinary shares, or if other market participants such as short sellers issue unfavorable reports about us, the price of our ordinary shares could decline.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relies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management conducted an evaluation of the effectiveness of our internal control over financial reporting and concluded that our internal control over financial reporting was effective as of December 31, 2025. 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Our management is required to assess the effectiveness of our internal controls and procedures and disclose changes in these controls on an annual basis and our independent registered public accounting firm is required to attest to the effectiveness of our internal controls over financial reporting pursuant to Section 404.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effective as of December 31, 2025.</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process of determining whether our existing internal controls are compliant with Section 404 and sufficiently effective will require the investment of substantial time and resources, including by our chief financial officer and other members of our senior management. As a result, this process may divert internal resources and take a significant amount of time and effort to complete. In addition, we cannot predict the outcome of this process and whether we will need to implement remedial actions in order to implement effective controls over financial reporting. The determination of whether or not our internal controls are sufficient and any remedial actions required could result in us incurring additional costs that we did not anticipate, including the hiring of outside consultants.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or results of operations and could result in an adverse opinion on internal controls from our independent auditors.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if we are unable to certify that our internal control over financial reporting is effective and in compliance with Section 404, we may be subject to sanctions or investigations by regulatory authorities, such as the SEC or stock exchanges, and we could lose investor confidence in the accuracy and completeness of our financial reports, which could hurt our business, the price of our ordinary shares and our ability to access the capital markets.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(“PFIC”) for U.S. federal income tax purposes for our taxable year ended December 31, 2025, and possibly for the current taxable year and future taxable years, which could result in adverse U.S. federal income tax consequences to U.S. Holders of our ordinary shares.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non-U.S. corporation will be a PFIC for any taxable year if either (1) at least 75% of its gross income for such year consists of certain types of passive income; or (2) at least 50% of the value of its assets (generally determined based on an average of the quarterly values of the assets) during such year is attributable to assets that produce passive income or are held for the production of passive income. For this purpose, cash and assets readily convertible into cash are categorized as passive assets and our goodwill and other unbooked intangibles will generally be taken into account in determining our asset value.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corporation’s PFIC status is a factual determination made annually after the close of each taxable year. 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may technically be classified as a PFIC for the taxable year ended December 31, 2025. Depending upon the composition of our income and assets and the market price of our ordinary shares during 2026 and subsequent taxable years and whether we start generating a substantial amount of active revenue, we could continue to be classified as a PFIC for 2026 and subsequent taxable years if we are classified as a PFIC for 2025. In addition, it is possible that any subsidiary that we own would also be classified as a PFIC for such taxable years.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were classified as a PFIC for any taxable year during which a U.S. Holder (as defined below) holds our ordinary shares, certain adverse U.S. federal income tax consequences could apply to such U.S. Holder. See “Item 10. Additional Information—E. Taxation—U.S. Federal Income Tax Considerations.”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Conditions in Israel, including in the aftermath of Israel’s war with Hamas, Hezbollah, Iran and other terrorist organizations or terror-supporting governments in the Middle East, and political and economic instability in the region, may adversely affect our operations and limit our ability to market our products, which would lead to a decrease in revenues.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incorporated under Israeli law, and many of our employees and senior members of our management team, operate from our headquarters located in Israel. In addition, most of our officers and directors are residents of Israel. Accordingly, our business and operations are directly affected by economic, political, geopolitical, and military conditions in Israel.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the establishment of the State of Israel in 1948 and in recent years, armed conflicts between Israel and its neighboring countries and terrorist organizations active in the region have involved missile strikes, hostile infiltrations, terrorism against civilian targets in various parts of Israel, and recently abduction of soldiers and citizens.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October 7, 2023 attacks by Hamas, Israel declared that it is in war against Hamas, leading to military conflicts with Hamas, Hezbollah and Iran (both directly and through proxies). Despite some ceasefire agreements, military activity and hostilities continue varying levels of intensity. At the same time, in June 2025, Israel launched a major military strike against Iran, resulting in a twelve-day armed conflict (the “Twelve-Day War”) that also involved direct U.S. airstrikes on Iranian nuclear facilities. A ceasefire was reached on June 24, 2025, however Hezbollah has now rejoined hostilities in connection with the military operations conducted against Iran.. In late February 2026, the United States and Israel launched significant military operations against Iran, and Iran responded with retaliatory missile and drone attacks on Israel, U.S. military assets and Gulf states, including the United Arab Emirates, Saudi Arabia, Qatar, Kuwait and Bahrain. This conflict has caused significant casualties in the region, disrupted commercial air travel, damaged critical infrastructure, and effectively suspended shipping through the Strait of Hormuz. The duration and ultimate scope of this conflict remain highly uncertain. A prolonged or expanding conflict could result in sustained disruptions to regional and global economic conditions, continued volatility in energy markets and further deterioration of commercial and financial activity across the Middle East and globally. Any or all of these situations may potentially escalate in the future to more violent events which may affect Israel and us.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our facilities have not been damaged during the current conflicts, ongoing hostilities have caused and may continue to cause damage to private and public facilities, infrastructure, utilities, and telecommunication networks, and potentially disrupting our operations and supply chains. In addition, Israeli organizations, government agencies and companies have been subject to extensive cyber-attacks. These factors could lead to increased costs, risks to employee safety, and challenges to business continuity, with potential financial losses.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continuation of the conflict has led to a deterioration of certain indicators of Israel’s economic standing, for instance, credit rating actions or outlook changes by international rating agencies.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war and related regional military developments, a small number of our employees were called by Israel for military service, and such persons were unavailable for extended periods of time. Our operations were generally not disrupted by such absence.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Currently, our activities in Israel remain largely unaffected, and we maintain business continuity plans backed by our inventory levels located outside of Israel. As of the date of this annual report, the impact of the recent war and its aftermath on our results of operations and financial condition is not material, but such impact may increase, and could become material, as a result of the restarting of the war, in light of the tense regional environment and the activities of Iran and its terrorist proxies to rebuild their capabilities to attack Israel.</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we cannot assure you that such government coverage will be maintained or that it will sufficiently cover our potential damages. Any losses or damages incurred by us could have a material adverse effect on our business.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perception of Israel and Israeli companies, influenced by international judicial bodies and geopolitical events, may lead to increased sanctions and other negative measures against Israel, as well as Israeli companies and academic institutions. There is also a growing movement among countries, activists, and organizations to boycott Israeli goods, services and academic research or restrict business with Israel, which could affect business operations. If these efforts become widespread, along with any future rulings from international tribunals against Israel, they could significantly and negatively impact business operations.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October 2023 war, the Israeli government pursued changes to Israel’s judicial system and has recently renewed its efforts to effect such changes. As of early 2026, several pieces of legislation aimed at restructuring the judicial selection committee and re-regulating the civil service have advanced in the Knesset. These developments have raised concerns that such proposed changes may negatively impact the business environment in Israel and could lead to political instability or civil unrest. If such changes are pursued and approved, this may have an adverse effect on our business, results of operations, and ability to raise additional funds. In addition, Israel’s election cycle (or the possibility of early elections) may contribute to governmental inconsistency, policy uncertainty and civil unrest, any of which could adversely affect our operations and the Israeli business environment.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or reduction of tax and other incentives that the Israeli government provides to Israeli companies may increase our costs and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Israeli government currently provides tax and capital investment incentives to Israeli companies, as well as grant and loan programs relating to research and development and marketing and export activities (see “Item 10. Additional Information—E. Taxation—Israeli Tax Considerations and Government Programs”). In recent years, the Israeli government has reduced the benefits available under these programs and the Israeli governmental authorities may in the future further reduce or eliminate the benefits of these programs. We may take advantage of these benefits and programs in the future; however, there can be no assurance that such benefits and programs will be available to us. If we qualify for such benefits and programs and fail to meet the conditions thereof, the benefits could be canceled and we could be required to refund any benefits we might already have enjoyed and become subject to penalties. Additionally, if we qualify for such benefits and programs and they are subsequently terminated or reduced, it could have an adverse effect on our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us, our officers and directors named in this annual report on Form 20-F in Israel or the United States, or to assert U.S. securities laws claims in Israel or serve process on our officers and directors.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in Israel. Many of our directors and officers are not residents of the United States and a significant portion of their and our assets are located outside the United States. Service of process upon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directors and officers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obtained in the United States against us or our directors and officers, which may make it difficult to collect on judgments rendered against us or our directors and officers.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holders of our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under Israeli law,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in Israel to assist in understanding the implications of these provisions that govern shareholder behavior.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articles of association contain exclusive forum provisions for certain claims, which could limit our shareholders’ ability to obtain a favorable judicial forum for disputes with us or our directors, officers or employees.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association provides that the federal district courts of the United States of America will, to the fullest extent permitted by law, be the exclusive forum for resolving any complaint asserting a cause of action arising under the Securities Act (the “Federal Forum Provision”). Our decision to adopt a Federal Forum Provision followed a decision by the Supreme Court of the State of Delaware holding that such provisions are facially valid under Delaware law. While there can be no assurance that U.S. federal or state courts or Israeli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does not apply to suits brought to enforce any duty or liability created by the Exchange Act. Accordingly, actions by our shareholders to enforce any duty or liability created by the Exchange Act or the rules and regulations thereunder must also be brought in federal court. Our shareholders will not be deemed to have waived our compliance with the federal securities laws and the regulations promulgated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Federal Forum Provision. This provision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Federal Forum Provision contained in our amended and restated articles of association to be inapplicable or unenforceable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articles of association and Israeli law and tax considerations may delay, prevent or make difficult an acquisition of us, which could prevent a change of control and negatively affect the price of our ordinary shares.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if such acquisitions cause the acquirer to hold more than specified thresholds, requires special approvals for certain transactions involving directors, officers or significant shareholders and regulates other matters that may be relevant to these types of transactions. For example, under Israeli law, a merger may not be consummated unless at least 50 days have passed from the date that a merger proposal was filed by each merging company with the Israel Registrar of Companies and at least 30 days have passed from the date that the shareholders of both merging companies approved the merger.</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such as for those shareholders whose country of residence for tax purposes does not have a tax treaty with Israel which exempts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In order to benefit from the tax deferral, a pre-ruling from the Israel Tax Authority may be required.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of Israeli law and Israeli tax laws may delay, prevent or make difficult a merger with, or an acquisition of us, or all or a significant portion of our assets, which could prevent a change of control and may make it more difficult for a third party to acquire us, even if doing so would be beneficial to our shareholders. These provisions may limit the price that investors may be willing to pay in the future for our ordinary shares and therefore depress the price of our shares.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IMAGING LTD was incorporated under the laws of the State of Israel on December 20, 2018 and commenced operations on September 3, 2019.</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Substantially all of our assets at the time of commencement of our operations were acquired or assigned (the “Asset Purchase”) from our predecessor company, Nanox Imaging PLC (“Nanox Gibraltar”), a Gibraltar public company, under an Asset Purchase Agreement, dated as of September 3, 2019 and as amended on December 3, 2019 and December 31, 2019, between Nanox Gibraltar and us.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2, 2021, the Company completed the acquisition of 100% of the shares of USARAD Holdings, Inc., a Delaware corporation (“USARAD”), pursuant to the terms of the Stock Purchase Agreement, dated October 25, 2021 (the “USARAD SPA”), among the Company, USARAD, Dr. Michael Yuz, other holders of capital stock of USARAD and holders of USARAD options. USARAD is a U.S.-based teleradiology company with approximately 29 active U.S. certified radiologists and cardiologists in its network. At closing, the Company (through a wholly-owned subsidiary) purchased 100% of the shares of USARAD on a fully diluted basis for $7,300,000 in cash and 496,545 ordinary shares. In addition, upon the successful achievement of certain milestones related to profitability, EBITDA and other operational performance metrics, the Company undertook to pay additional cash consideration in the amount of up to $2,000,000 and stock consideration in the amount of up to $6,500,000 at a per share value determined by the average of: (i) the volume weighted average closing share price of the 30 trading days prior to the relevant milestone completion, and (ii) the volume weighted average closing share price of the 30 trading days ending on August 6,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28, 2023, the Company and Dr. Michael Yuz, as the representative of the former stockholders of USARAD, entered into the first amendment to the USARAD SPA, according to which the parties to the USARAD SPA agreed that (i) the Company shall pay to the former stockholders of USARAD an aggregate amount of $290,063 in cash and 45,392 ordinary shares, in consideration for the achievement of certain milestones in connection with the first earn out period, as defined in and in accordance with the USARAD SPA; and (ii) the rights and obligations under the USARAD SPA regarding the remaining earn out periods were amended such that the parties agreed that the Company shall pay to the former stockholders of USARAD an aggregate amount of $500,000 in cash and 210,000 ordinary shares as consideration for the remainder of the milestones and applicable earn-outs under the USARAD SPA. As a result of the amendment to the USARAD SPA, obligations of the Company and the rights of the former stockholders of USARAD relating to the purchase price (including the earn-outs) under the USARAD SPA have been satisfied in full.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3, 2021, the Company completed the acquisition of the platform and other assets of MDWEB, pursuant to the terms of the Asset Purchase Agreement, dated October 21, 2021, between the Company and MDWEB, a USARAD-related company. Pursuant to the acquisition, we acquired the MDW platform, now known as the Nanox.MARKETPLACE, a decentralized marketplace connecting imaging facilities with radiologists. At closing, the Company issued 64,715 ordinary shares to MDWEB. In addition, upon the successful achievement of certain milestones related to technical integration of the Nanox.MARKETPLACE with the Nanox.CLOUD and achieving certain other operational targets, the Company undertook to pay additional stock consideration in the amount of up to $1,500,000 at a per share value determined by the average of: (i) closing price of the 30 trading days ending on the applicable milestone’s achievement date: and (ii) the volume weighted average closing share price of the 30 trading days prior to the closing date.</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4, 2021, the Company consummated its purchase of 100% of the equity of Zebra Medical Vision Ltd., an Israeli company (“Zebra”) pursuant to the terms of the Agreement and Plan of Merger, dated August 9, 2021, as amended (the “Zebra Merger Agreement”), among the Company, Zebra and Perryllion Ltd., as representative of Zebra’s equity holders. Zebra, now known as Nanox AI, is a leading medical AI developer, with eight FDA-cleared and 11 CE-marked AI solutions for medical imaging. At closing, the Company issued 3,249,142 ordinary shares of the Company and committed to issue 70,211 employee options to the equity holders of Zebra, which represented (a) the basic purchase price of $100,000,000; minus (b) certain transaction costs; plus (c) deferred closing consideration in the amount of $3,333,333 as a result of Zebra entering into a designated commercial agreement prior to closing; plus (d) $6,300,000 as a result of Zebra achieving a designated milestone of obtaining a new FDA clearance for its population health product. All shares, except for the shares issued for the designated milestone, were issued at a deemed per share value of $33.18 and the shares issued for the designated milestone were issued at a per share value of $25.01. In addition, according to the terms of the Zebra Merger Agreement, under certain circumstances, the Company was obligated to issue additional ordinary shares as deferred closing consideration and certain milestone consideration (should such be achieved) representing an aggregate amount of up to $100,000,000 within three years following the closing. An aggregate of $9,633,333 of such consideration was paid at closing as described above. In addition, on January 19, 2022, we issued 89,286 additional ordinary shares to the former shareholders of Nanox AI due to partial achievement of a milestone that occurred post-closing. On December 29, 2022, the parties entered into a settlement with respect to any additional amount that could be granted under the Zebra Merger Agreement, according to which the Company issued Nanox AI’s former shareholders an additional 2,648,424 ordinary shares. As a result of the settlement, both parties’ performance obligations under the agreement have been satisfied in full.</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1, 2024, we incorporated Nanox Impact Inc., a Delaware company, for the deployment operations of our Nanox System in the United States.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19, 2025, the Company completed the acquisition of 100% of the shares of Vaso Healthcare IT Corp., a Delaware corporation (“Vaso IT”), pursuant to the terms of a Stock Purchase Agreement, dated November 18, 2025 (the “Vaso SPA”), among Nano-X Imaging Inc., the Company’s wholly owned subsidiary (“Nanox Inc.”), Vaso IT, and Vaso Corporation, a Delaware Corporation, the parent company of Vaso IT (“Vaso Corp”). Pursuant to the Vaso SPA, Vaso Corp sold to Nanox Inc. 100% of the stock of Vaso IT, in return for a purchase price of $200,000, and an earnout payment that shall not exceed $600,000, which shall be payable for the two-year period following the closing of the Vaso SPA (the “Earnout”). The Earnout shall be calculated as 10% of all revenues from current Vaso IT customers, during the Earnout payment period, of two years. Following the closing of the VASO SPA, Vaso IT changed its name to Nanox Health IT. Nanox Health IT is a healthcare information technology services provider that serves hospitals and other healthcare organizations in the United States, with personnel specializing in healthcare IT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Nanox Health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Ofer Tech Park, 94 Shlomo Shmeltzer Road, Petach Tikva, Israel 4970602, and our telephone number is +972 3 37359202. Our website address is http://www.nanox.vision. The information contained therein or connected thereto shall not be deemed to be incorporated into this annual report on Form 20-F. Our agent for service of process in the United States is CT Corporation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2020, we completed our initial public offering of 10,555,556 ordinary shares at a public offering price of $18 per share, including 1,376,812 additional ordinary shares purchased by the underwriters at the public offering price, less the underwriting discount, pursuant to the exercise in full of their option to purchase additional ordinary shares. Our ordinary shares are listed on the NASDAQ Global Market under the symbol “NNOX.”</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10, 2021, certain of our shareholders sold an aggregate of 3,091,635 ordinary shares in a public offering pursuant to an Underwriting Agreement by and among us, Cantor Fitzgerald &amp; Co., acting as representative of the underwriters, and the selling shareholders named therein (the “Selling Shareholders”). We did not receive any of the proceeds from the sale of ordinary shares offered by the Selling Shareholders.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23, 2023, we entered into a securities purchase agreement with a single institutional investor for the purchase and sale of 2,142,858 of the Company’s ordinary shares together with warrants to purchase up to 2,142,858 ordinary shares at a combined purchase price of $14.00 per share, in a registered direct offering. The warrants have an exercise price of $19.00 per share, are exercisable immediately upon issuance and will expire five years from issuance. The closing of the offering occurred on July 26, 2023, and the gross proceeds from the offering were approximately $30 million, excluding any proceeds that may be received upon the exercise of the warrants, before deducting placement agent fees and other offering expenses payable by the Company.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7, 2024, we entered into the Sales Agreement with Cantor Fitzgerald &amp; Co. and Mizuho Securities USA LLC (each individually, an “Agent” and collectively, the “Agents”) relating to the issuance and sale from time to time of our ordinary shares. In accordance with the terms of the Sales Agreement, we may offer and sell our ordinary shares having an aggregate offering price of up to $100 million from time to time through the Agents pursuant to the Sales Agreement. The Agents will be entitled to compensation at a commission rate of up to 2.5 % of the aggregate gross proceeds from each sale of ordinary shares. As of December 31, 2025 we have raised $46.1 million under the Sales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23, 2025, we entered into a securities purchase agreement with a single institutional investor for the purchase and sale of 3,826,530 of the Company’s ordinary shares at a purchase price of $3.92 per share, in a registered direct offering. The gross proceeds from the offering were approximately $15 million, before deducting placement agent fees and other offering expenses payable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is focused on driving the world’s transition to preventive health care by delivering an integrated, end-to-end medical imaging and healthcare services platform.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combines affordable imaging hardware, advanced AI-based solutions, cloud-based software, access to remote radiology, health IT solutions, and a marketplace to enable earlier detection, improved clinical efficiency, and broader access to care.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By integrating imaging technology, AI, cloud infrastructure, clinical expertise, a marketplace, and health information technology, Nanox seeks to lower barriers to adoption, improve utilization, and advance preventive care worldwide.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holistic imaging solution is currently comprised of the following principal components:</w:t>
      </w:r>
    </w:p>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Nanox System</w:t>
      </w:r>
      <w:r>
        <w:rPr>
          <w:rFonts w:ascii="Times New Roman" w:cs="Times New Roman" w:eastAsia="Times New Roman" w:hAnsi="Times New Roman"/>
          <w:sz w:val="18"/>
          <w:szCs w:val="18"/>
          <w:color w:val="auto"/>
        </w:rPr>
        <w:t>. As a first step to producing a new class of accessible and affordable medical imaging systems, we focused on identifying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novel digital X-ray source, which we refer to as the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over ten years towards the goal of commercial applicability. This novel digital X-ray source is the basis of core technology in the imaging system we are developing, and we believe it also has the potential to replace the legacy X-ray source in other existing imaging systems. Our technology aims to disrupt medical imaging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Nanox System includes two integrated components—hardware (Nanox.ARC, or Nanox.ARC X), a medical imaging system incorporating our novel digital X-ray source, and software (Nanox.CLOUD). We developed, and continue to improve, the multi-source Nanox.ARC, a 3D tomosynthesis imaging system, which received two 510(k) clearances from the FDA and remains subject to regulatory clearance and approval in other jurisdictions. Tomosynthesis is an imaging technique used for early detection, that is designed to produce a high-resolution, 3D, X-ray image reconstruction of the scanned human body part for review by a professional diagnostics expert. In parallel, we have developed, and continue to improve, the Nanox.CLOUD, a companion cloud-based software to which scanned images may be securely uploaded to the cloud system.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clearances from the FDA, and if cleared by similar regulatory agencies in other jurisdictions, we plan to market and deploy the Nanox System globally at a substantially lower cost than currently available medical imaging systems, such as legacy X-ray and Computerized Tomography (“CT”) systems, because our digital X-ray source allows the Nanox.ARC to have a simpler structure without the costly cooling equipment used in legacy X-ray systems or the complex rotating mechanism used in CT devices. See “—Our Technology—The Nanox System.” We believe that the Nanox System could increase the accessibility and affordability of early-detection medical imaging systems worldwide, substantially reduce wait-times for imaging results and increase early detection rates compared to currently employed imaging process protocol.</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continue to implement a multi-step approach to the regulatory clearance process for the Nanox System. On April 28, 2023, we received a 510(k) clearance from the FDA to market the Nanox.ARC (including the Nanox.CLOUD), a multi-source 3D digital tomosynthesis system, as a stationary X-ray system intended to produce tomographic images of the human musculoskeletal system adjunctive to conventional radiography, on adult patients. On December 4, 2024, we received another 510(k) clearance from the FDA for the Nanox.ARC,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We plan to seek additional clearances or approvals for additional uses of the currently cleared Nanox System, or for future versions of the Nanox System. In April 2025, we received a 510(k) clearance from the FDA for the Nanox.ARC X,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The Nanox Systems achieve diagnostic imaging with up to 80% less radiation compared to CT scans, for equivalent body parts, and minimize structural superimposition for clearer imaging, compared to traditional X-rays. In February 2026, we received a 510(k) clearance from the FDA for TAP2D, a new cloud enabled image enhancement capability for the Nanox.ARC and Nanox.ARC X.</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22, 2023, Nanox.ARC received approval from the Medical Device Division of the Ministry of Health in Israel (the regulatory body that oversees medical devices in Israel). As such, Nanox.ARC is registered as a commercial medical device in the Israeli market. Following this approval, the Israeli Ministry of Health granted Nanox.ARC a free sale certificate which is a requirement for regulatory submission in some markets. In addition, in Ghana, our local partner has obtained approval from the Ghana Food and Drug Authority (the GFDA), and started the clinical scanning of patients.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25, 2025, we received the CE mark certification to market the multi-source Nanox.ARC system, including the Nanox.CLOUD, its accompanying cloud-based infrastructure. Nanox.ARC is a stationary X-ray system, intended to generate tomographic images of human anatomy from a single tomographic sweep performed in recumbent positions of adult patients.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U.S. go-to-market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market analysis of the U.S. market by clinicians, imaging administrators and directors, stakeholders recognize the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of the Nanox System and its more affordable approach to advanced imaging technology. Furthermore, outpatient facilities, such as freestanding emergency clinics, and pulmonary clinics showed interest in adopting the Nanox System. Specifically, because such facilities typically do not have CT capabilities, we believe such facilities view the Nanox System as a more affordable way to keep patients in-house for advanced imaging needs, combined with a 2D X-ray. In addition, even among facilities that already have CT capabilities, stakeholders have expressed interest in exploring the Nanox.ARC as a complementary solution, offering lower radiation dose, a smaller footprint, and a potentially more cost-efficient alternative for certain imaging use cases. Outpatient facilities also expressed potential interest in our MSaaS business model, which we believe could reduce the risk of an upfront purchase because the cost is based on actual use. We believe that gathering further clinical evidence will strengthen the support for our technology. Our current U.S. go-to-market strategy is comprised of three primary components: customer targeting, building a sales team and using a hybrid business model.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terms of customer targeting, we believe several factors impact willingness to adopt our system, including the type of facility, its current imaging capabilities and imaging volumes, and geographic location, namely rural vs. urban. We aim to strategically engage segments that show early adoption potential, such as orthopedic clinics, skilled nursing facilities, freestanding emergency departments and urgent care facilities. We intend to continue to build clinical evidence particularly within the U.S. market, to support the adoption of our system, as well as reimbursement mechanisms, specifically with commercial payers. We’ve strategically realigned our focus to enhance our presence in the U.S. market, such that our initial efforts in commercialization and deployment within the U.S. have been concentrated on select states. This approach allows us, in the near term, to optimize customer service, delivery and support. To execute our strategy, we have allocated internal sales resources and we are trying to leverage the USARAD network, in order to accelerate our initial penetration in the market. Furthermore, we are in the process of expanding a U.S.-based sales and service team that will seek to generate leads, close sales, manage relationships, and provide services for the Nanox System installed base. We are also in the process of engaging with independent service providers to provide service in remote areas and to decrease equipment downtime. We expect that other operational needs (such as medical affairs, regulatory, billing, finance and contracting) will be supported by the existing international Nanox organization.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our business model in the U.S., we use a hybrid approach combining a usage-based Subscription model with a CapEx Model to help promote adoption, based on different segments, with an increasing focus on CapEx-driven deployments supported by our growing network of channel partners and direct sales force. We have designed a training program to promote the Nanox System. Including enablement of channel partners to support sales, installation and ongoing customer engagement. We also intend to use a combination of pilot sites, training, service, sales, and marketing efforts to help meet customer needs, while leveraging third-party distributors and strategic partners to expand our market reach. These aspects of our business strategy require us to hire additional experienced healthcare business-development professionals as well as to build and manage relationships with channel partners, who are charged with raising awareness of the Nanox System among physicians, hospitals, urgent care operators, and large health systems throughout the U.S.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a U.S. Reimbursement Landscape Assessment for Nanox.ARC, it was found that the existing CPT code 76100 “</w:t>
      </w:r>
      <w:r>
        <w:rPr>
          <w:rFonts w:ascii="Times New Roman" w:cs="Times New Roman" w:eastAsia="Times New Roman" w:hAnsi="Times New Roman"/>
          <w:sz w:val="18"/>
          <w:szCs w:val="18"/>
          <w:i w:val="1"/>
          <w:iCs w:val="1"/>
          <w:color w:val="auto"/>
        </w:rPr>
        <w:t>Radiologic examination,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single plane body section (eg, tomography), other than with urography</w:t>
      </w:r>
      <w:r>
        <w:rPr>
          <w:rFonts w:ascii="Times New Roman" w:cs="Times New Roman" w:eastAsia="Times New Roman" w:hAnsi="Times New Roman"/>
          <w:sz w:val="18"/>
          <w:szCs w:val="18"/>
          <w:color w:val="auto"/>
        </w:rPr>
        <w:t>” would be a viable option to report tomosynthesis procedures utilizing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Nanox.ARC. Nanox.ARC users would be able to report with appropriate ICD-10-PCS code(s). These ICD-10-PCS codes are for reporting services and procedures performed in the inpatient hospital site of service. For the Nanox.ARC, clinics or hospitals operating it can use the CPT code 76100 for reporting. According to the National Physician Fee Schedule (MPFS) and related schedules, as of November 2025 and February 2026, reimbursement rates for DTS vary between uses by physicians and by hospital outpatients. Third-party payors may impose limits on coverage or reimbursement for diagnostic imaging services, including denying reimbursement for tests that do not follow recommended diagnostic procedures or can only be billed using an unlisted or miscellaneous code. Prior authorization is required for certain advanced imaging services through CMS’ Appropriate Use Criteria (AUC) program and private payer prior authorization programs. Currently, although there are no AUCs for tomosynthesis in general radiography, we plan to monitor the CMS AUC Program and Private Payers Prior Authorization process for radiology procedures for any change.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recently entered into a distribution agreement with Howard Technology Solutions (“Howard”) a division of Howard Industries to deploy 300 Nanox.ARC systems across the U.S. over three years. As of the date of this Annual Report, we continue to advance the deployment of the Nanox.ARC systems through direct sales and commercial collaborations, with approximately 36 systems in various stages of deployment, additional 17 systems expected to be installed over the following months as part of the Nanox Imaging Network initiative (as described below), and have executed distribution agreements (including Howard) for approximately 360 CapEx systems in the U.S. over the next two to three years, with timing dependent on regulatory, operational, and market factors. Most of the deployed systems have not yet begun to generate revenues. Such anticipated volumes, if executed as expected, reflect the Company’s current commercial arrangements and the expected activities of its distribution partners; however, the timing and extent of actual purchases are subject to a number of factors, including market adoption, customer demand, site readiness, construction timelines, regulatory approvals, and the performance of such partners. While these agreements represent expected commercial activity over time, many have not yet resulted in revenue, and the timing and extent of revenue recognition will depend on the progression of deployments, system activations, and other factors, including the performance of our distribution partners. The introduction of new medical technologies typically involves complex and multi-stage processes, including integration into clinical workflows, compliance with regulatory frameworks, and development of supporting operational infrastructure. These factors may extend deployment timelines, particularly in early stages, and may impact the timing of revenue generation.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Nanox Imaging Network (NIN). </w:t>
      </w:r>
      <w:r>
        <w:rPr>
          <w:rFonts w:ascii="Times New Roman" w:cs="Times New Roman" w:eastAsia="Times New Roman" w:hAnsi="Times New Roman"/>
          <w:sz w:val="18"/>
          <w:szCs w:val="18"/>
          <w:color w:val="auto"/>
        </w:rPr>
        <w:t>Nanox has initiated Nanox Imaging Network (“NIN”), a limited Proof-of-Concept (“POC”) initiative,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with Monarch Medical Management and Billing LLC (“Monarch”). NIN is intended to evaluate a network-based imaging services operating model in the United States, focused on providing imaging services through selected sites serving workers’ compensation and other specialized healthcare segments.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NIN POC, Nanox is responsible for certain technical and operational elements, including imaging system deployment, maintenance of its Nanox.ARC systems, connectivity and service support, while Monarch is responsible for site operations, personnel, regulatory permits, and local engagement. The initiative is intended to serve a range of healthcare providers, including orthopedic and spine clinics, occupational health providers, post-accident care providers, nursing homes and correctional healthcare facilities.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target segments addressed by the NIN POC, including workers’ compensation-related imaging services, are characterized by reimbursement structures that may allow for higher per-scan pricing compared to standard reimbursement frameworks, depending on payer arrangements, state-specific fee schedules and contractual terms. The NIN POC is intended, in part, to evaluate such reimbursement dynamics.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POC is currently in an early and limited deployment phase, with a limited number of sites identified and in various stages of setup. The POC is intended solely to assess operational, regulatory and economic feasibility. Nanox has not committed to a rollout of NIN, and there can be no assurance that the POC will be expanded, successfully implemented, or result in material revenues.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 go-to-market.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 population ages and the demand for medical imaging increases in lockstep, there is an increasing need for accessible, advanced imaging solutions across various care settings. We expect the Nanox.ARC and Nanox.ARC X to be a good fit for this backdrop, because at their core, the Nanox.ARC and the Nanox.ARC X offer an advanced medical imaging solution that is more accessible and affordable. Most of the initial sales in the EU are and will be through the CapEx Model, meaning the systems will be purchased outright with no per-scan charges. However, there will be additional revenues generated through the use of service contracts and Nanox.CLOUD connectivity. The distributors are responsible to oversee sales and market development, including promoting the equipment, engaging with key opinion leaders, and generating leads. They are handling local regulatory approvals, importation, installation, and after-sales support. Additionally, they will execute marketing activities, maintain inventory, manage financial transactions with Nanox, and set local pricing and negotiate with customers.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Nanox.MARKETPLACE. </w:t>
      </w:r>
      <w:r>
        <w:rPr>
          <w:rFonts w:ascii="Times New Roman" w:cs="Times New Roman" w:eastAsia="Times New Roman" w:hAnsi="Times New Roman"/>
          <w:sz w:val="18"/>
          <w:szCs w:val="18"/>
          <w:color w:val="auto"/>
        </w:rPr>
        <w:t>Nanox.MARKETPLACE (formerly known as the MDW platform), which we acquired from MDWEB in November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 The radiologist receives payment through the platform from the customer upon the delivery of the imaging interpretation. The Nanox.MARKETPLACE service is currently offered on a standalone basis. Additionally, we have completed the incorporation of the Nanox.MARKETPLACE into the Nanox System, such that images that were generated by the Nanox.ARC and the Nanox.ARC X, and uploaded to the Nanox.CLOUD, can be streamlined and referred through the Nanox.MARKETPLACE to radiologists for remote reading.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Nanox.CONNECT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August 2022, we entered into a supply agreement with Re-medi Co Ltd. in order to integrate Remedi’s two-dimensional (“2D”)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 systems (using traditional X-ray tubes) to the Nanox.CLOUD and the Nanox.MARKETPLACE, creating a mobile 2D X-ray system that enables remote readings of scans with third parties AI-powered imaging analysis and a global teleradiology solution, which we refer to as the “Nanox.CONNECT.” The Nanox.CONNECT is currently deployed in a beta site in order to receive local regulatory approvals and explore and evaluate the business model and the potential service.</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AI Imaging Solutions</w:t>
      </w:r>
      <w:r>
        <w:rPr>
          <w:rFonts w:ascii="Times New Roman" w:cs="Times New Roman" w:eastAsia="Times New Roman" w:hAnsi="Times New Roman"/>
          <w:sz w:val="18"/>
          <w:szCs w:val="18"/>
          <w:color w:val="auto"/>
        </w:rPr>
        <w:t>. Nanox AI (previously known as Zebra), which we acquired in November 2021, develops machine learning platforms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database of over 500 million imaging scans, which facilitates the development of AI medical imaging solutions. Nanox AI has FDA clearance for seven radiology AI solutions, CE mark in Europe for five radiology AI solutions and regulatory approvals in other countries for its radiology AI solutions. Nanox AI has been granted over two dozen patents in the field of radiology AI. Nanox AI gathers underutilized image data from CT scans and helps medical service providers focus on patients that, upon findings generated by use of our AI solutions, require additional medical attention.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2024, we received FDA clearance for HealthFLD, an AI software that provides automated qualitative and quantitative analysis of liver attenuation from routine contrast and non-contrast chest and abdomen CT scans in patients between the ages of 18 to 75. HealthFLD is intended to support clinicians in the detection of fatty liver, correlated with hepatic steatosis, an early sign of metabolic dysfunction-associated steatotic liver disease (MASLD), formerly referred to as non-alcoholic fatty liver disease (NAFLD).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2024, we received 510(k) clearance for HealthCCSng V2.0. HealthCCSng V2.0 is the upgraded version of Nanox.AI’s cardiac solution, HealthCCSng, which has already shown tangible results in several healthcare systems, identifying patients at high risk of coronary artery disease while driving significant revenue to cardiology departments. It has also been seamlessly integrated with existing picture archiving and communication systems (PACS) and electronic medical records (EMR) systems, and enabled timely and appropriate preventive care.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FDA cleared AI-based software imaging solutions to hospitals, health maintenance organizations (“HMOs”), integrated delivery networks (“IDNs”), marketplaces, pharmaceutical companies and insurers that are designed to identify or predict undiagnosed or underdiagnosed medical conditions, through the mining of data of existing CT scans. We have entered into collaboration agreements with marketplaces for access and distribution of our Nanox AI solutions, and agreements with IDNs, hospitals, insurance assessment and imaging companies with respect to our AI imaging solutions.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offer direct access to end-consumers to get the AI solutions through second opinions platform and healthcare imaging companies with respect to our AI imaging solutions. We currently offer AI imaging population health solutions aimed at identifying underlying findings, which are correlated to osteoporosis, cardiovascular disease and fatty liver to help detect patients at risk for more advanced liver disease such as NASH. With our AI imaging population health solutions, we aim to further our mission to enable preventative healthcare through early detection.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HealthFLD clearance is the third product across the Nanox.AI suite of population health solutions to receive FDA clearance. The FDA previously cleared HealthCCSng, a solution that detects coronary artery calcium (CAC) that presents a risk for coronary artery disease, and HealthOST, a solution that assesses vertebral compression fractures and bone mineral density to support clinicians in the evaluation and assessment of musculoskeletal disease of the spine (such as osteoporosis).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Looking to the future of Nanox.AI, the strong validation of these solutions by multiple health systems around the world drives us to develop additional algorithms that can identify more health problems.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Nanox.AI is collaborating with a U.S.-based healthcare company that operates medical screening programs focused on early disease detection. Under the terms of this collaboration, Nanox.AI’s population health software solutions are integrated into the partner’s medical screening workflows across multiple imaging center locations in the United States.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this model, Nanox.AI provides technology solutions to a business customer that delivers screening services directly to individual consumers. As a result, Nanox.AI does not contract directly with end patients but rather supports consumer-facing healthcare services indirectly through its commercial partner. This business-to-business-to-consumer (B2B2C) approach is intended to allow Nanox.AI to participate in consumer healthcare markets while maintaining a business-to-business commercial relationship.</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We’re also expanding direct-to-clinician access to Nanox.AI solutions and launching new AI applications that have the potential to improve diagnostic accuracy, early detection, and patient management directly to clinics and physicians as an AI software add-on.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Nanox.AI continues to expand its software and artificial intelligence–enabled product portfolio to support clinical care management and advanced image analysis.</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Real+ Osteoporosis Care Management Platform</w:t>
      </w:r>
      <w:r>
        <w:rPr>
          <w:rFonts w:ascii="Times New Roman" w:cs="Times New Roman" w:eastAsia="Times New Roman" w:hAnsi="Times New Roman"/>
          <w:sz w:val="18"/>
          <w:szCs w:val="18"/>
          <w:color w:val="auto"/>
        </w:rPr>
        <w:t>. Real+ is a comprehensive osteoporosis care management software platform for which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completed. The solution is designed to support and automate key components of the osteoporosis care pathway, including patient intake, approval, follow-up, and ongoing monitoring. Real+ is tailored to the operational needs of Fracture Liaison Service (FLS) centers and is intended to support coordinated and timely care delivery while reducing administrative workload for clinical teams. Commercial deployment of Real+ remains subject to customer adoption, integration, and applicable regulatory approvals and operational considerations.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AI-Based Aortic Valve Calcification Measurement (Under Development). </w:t>
      </w:r>
      <w:r>
        <w:rPr>
          <w:rFonts w:ascii="Times New Roman" w:cs="Times New Roman" w:eastAsia="Times New Roman" w:hAnsi="Times New Roman"/>
          <w:sz w:val="18"/>
          <w:szCs w:val="18"/>
          <w:color w:val="auto"/>
        </w:rPr>
        <w:t>Nanox is developing an artificial intelligence–based solution intended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 and quantify aortic valve calcification using standard non-contrast, non-gated CT scans. This solution is designed to support earlier identification of patients who may be at risk for aortic stenosis and who may benefit from additional clinical evaluation. This product is currently under development, has not been fully validated, and is subject to further clinical evaluation and applicable regulatory review.</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AI-Based Body Composition Measurement (Under Development). </w:t>
      </w:r>
      <w:r>
        <w:rPr>
          <w:rFonts w:ascii="Times New Roman" w:cs="Times New Roman" w:eastAsia="Times New Roman" w:hAnsi="Times New Roman"/>
          <w:sz w:val="18"/>
          <w:szCs w:val="18"/>
          <w:color w:val="auto"/>
        </w:rPr>
        <w:t>Nanox is also developing an artificial intelligence–based body composition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capability intended to assess fat and muscle parameters from CT imaging. This capability is being evaluated for potential inclusion in broader analytical frameworks, including biological age analysis methodologies described in academic literature. This solution remains under development and has not been validated for clinical use.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Nanox may evaluate potential combined applications of body composition analysis and aortic valve calcification measurement; however, any such combined solutions are at an early development stage and subject to further research, validation, and regulatory review. There can be no assurance that the AI-based solutions described above will be successfully developed, approved, or commercially deployed.</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Nanox Health IT (formerly VasoHealthcare IT). </w:t>
      </w:r>
      <w:r>
        <w:rPr>
          <w:rFonts w:ascii="Times New Roman" w:cs="Times New Roman" w:eastAsia="Times New Roman" w:hAnsi="Times New Roman"/>
          <w:sz w:val="18"/>
          <w:szCs w:val="18"/>
          <w:color w:val="auto"/>
        </w:rPr>
        <w:t>Nanox Health IT is a healthcare information technology services provider that serves hospitals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healthcare organizations in the United States, with personnel specializing in healthcare IT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Nanox Health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spacing w:after="0" w:line="18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Teleradiology Services</w:t>
      </w:r>
      <w:r>
        <w:rPr>
          <w:rFonts w:ascii="Times New Roman" w:cs="Times New Roman" w:eastAsia="Times New Roman" w:hAnsi="Times New Roman"/>
          <w:sz w:val="18"/>
          <w:szCs w:val="18"/>
          <w:color w:val="auto"/>
        </w:rPr>
        <w:t>. Following our acquisition of USARAD in November 2021, we offer teleradiology services to customers in the U.S.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 additional six countries by U.S.-based radiologists, certified by the American Board of Radiology. We offer imaging interpretation services for radiology practices, hospitals, medical clinics, diagnostic imaging centers and mobile imaging service providers, urgent care facilities and multi-specialty physician groups and USARAD contracts directly with these customers. Second Opinions is a platform provided by USARAD Holdings Inc.</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platform connects patients with radiologists and other subspecialty physicians for additional consultation on their medical diagnoses. We have a network of approximately 20 accredited independent radiologists in our marketplace who are actively providing teleradiology services with us. We provide our teleradiology services to approximately 100 customers representing approximately 200 facilities. We allocate images that we receive from our customers, through our picture archiving and documentation system, to radiologists in our network based on the radiologist’s area of specialization. Payment is made by the customer directly to us based on the number of monthly readings and we pay the radiologist a predetermined fixed fee per reading.</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Currently, our teleradiology services are offered as a standalone product through USARAD. In the future, we plan to incorporate our teleradiology services as part of our Nanox System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Current Medical Imaging Solutions and Our Market Opportunity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main categories of current medical imaging systems that use X-ray sources include legacy X-ray systems, CT, mammography, fluoroscopy and angiogram. The analog X-ray source used by these systems produces X-rays by accelerating electrons to high energies, causing them to hit a metal target from which the X-rays are emitted. This requires a significant amount of electrical energy to be transferred to the X-ray tube. Due to the heat generated by this process, one of the most complex mechanical challenges is cooling the analog X-ray source. In addition, for CTs, the mechanical structure is even more complex because the analog X-ray source needs to rotate in a heavy gantry at high speed. We believe these are key factors leading to the high cost and complexity of existing medical imaging systems, which in turn significantly limits the availability of medical imaging for early detection globally.</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world population lacks access to medical imaging. Further, many people with access to medical imaging face substantial wait times for scanning. For example, in Canada, access to medical imaging procedures is a growing problem with months of reported wait times for MRI and CT screenings. Long wait times not only negatively impact patient outcomes but also add significant costs due to delays in detection and treatment.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most market participants, including medical imaging manufacturing companies, medical imaging providers and radiologists, among others, have not provided the same level of end-to-end medical imaging services. One of the reasons is that the scanning process is currently not integrated with the diagnostics process, which contributes to extended wait times for image diagnostics by experts.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a report of Fortune Business Insights from April 2026, the global medical imaging market size was valued at 44.33 billion in 2025 and is projected to grow from 46.9 billion in 2026 to 78.57 billion by 2034, exhibiting a CAGR of 6.65% during the forecast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X-ray segment is projected to dominate the market with a share of 35.55% in 2026.</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Increasing use of advanced AI-enabled diagnostic equipment for rapid diagnosis and predictive analysis in developed countries is a major factor anticipated to contribute to the rising product demand during the forecast period. Currently, only a handful of players operating in the market provide AI-enabled imaging technologies to the healthcare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Nanox Ecosystem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Nanox System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developed, and continue to improve, the Nanox System, which has two integrated components — hardware (Nanox.ARC or Nanox.ARC X) and software (Nanox.CLOUD). The Nanox.ARC, a 3D tomosynthesis imaging system, is designed to integrate our proprietary and novel digital X-ray source, known as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over ten years towards the goal of commercial applicability. The Nanox.ARC X is an AI-ready, multi-source digital tomosynthesis system that makes advanced 3D imaging possible in more places at significantly lower radiation dose than CT. The Nanox Systems achieve diagnostic imaging with up to 80% less radiation compared to CT scans, for equivalent body parts, and minimize structural superimposition for clearer imaging, compared to traditional X-rays.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technology aims to disrupt the medical imaging market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Analog X-ray Source and Limitations of Existing Medical Imaging Systems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X-ray tube technology has essentially remained unchanged since its inception in 1895. For any type of imaging system to generate X-rays, the system must use X-ray tubes as a source for the X-rays. The X-ray tube converts electrical power into X-rays by accelerating electrons to high energies, causing them to hit a metal target from which the X-rays are emitted. X-rays can only be produced if the X-ray tube is energized, which has historically required a significant amount of electrical energy to be transferred to the X-ray tube. However, only a small amount of the energy deposited into the X-ray tube is actually converted into X-rays; the majority of the energy turns into heat.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Traditionally, an X- ray system (or tube) is based on a thermionic (heat-based) mode of operation where a metal filament needs to be heated up to approximately 2,000°C to generate the electron stream (a “cathode”) that will hit a metal target (an “anode”) to generate the photon-based X-ray stream resulting from that high-energy impact.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Heating the filament to approximately 2,000°C requires the mechanical cathode support systems to withstand high temperatures within a high vacuum, high voltage environment. Tungsten was introduced into the X-ray tube in 1925 for its properties of a high melting point and ductility. The tungsten filaments still used today are critical components of X-ray tubes, but they limit the lifetime of the X-ray tube due to the progressive evaporation of filament material under these high temperatures. At temperatures of up to 2,000°C, the filament evaporates in hot spots close to the peak temperature locations which over time can cause a catastrophic failure of the filament.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Nanox’s technology exhibits the capability to swiftly switch between ON and OFF states within microseconds, a notable advancement compared to traditional filament-based systems that operate in seconds. This feature positions the Nanox.ARC and the Nanox.ARC X as formidable solutions for both industrial and security applications. Furthermore, the cathode module operates at low voltage, enhancing the overall simplicity of tube operation with the focus grid. The design allows for the incorporation of multiple sources, providing versatility and adaptability to various scenarios and applications.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the use of the legacy analog X-ray source is one of the key factors for the high cost of existing medical imaging systems. The main categories of medical imaging systems that use X-ray sources include legacy X-ray systems, CT (3D cross-sectional 360° “slicing” X-ray imaging), mammography (2D and 3D breast X-ray imaging), fluoroscopy (real-time X-ray video imaging) and angiogram (blood vessels, contrast X-ray imaging). CT scanners, for example, are complex diagnostic imaging systems that use X-rays to take images of a patient’s internal structures and organs. Due to the limitations of the analog X-ray source described above, general radiographic X-ray tubes are not well suited for use in a CT scanner. CT scanners instead use a specialized X-ray tube designed to withstand the excessive amount of heat produced by continuous energization. This X-ray tube is located in the gantry, which is the largest part of a CT scanner and consists of the X-ray detectors, the mechanical supports and the scanner housing. Due to the heat generated by this process, one of the most complex mechanical challenges is cooling the analog X-ray source while rotating it in a heavy gantry at high-speed. One solution used is the rotating anode, where a tungsten metal disk rotates at high revolutions per minute so the electron beam hits a different spot on the disk on a continuous basis to prevent the concentration of heat in one spot on the disk and reduce the likelihood of overheating or burning. In addition, CT scanners require a long continuous exposure time to create 3D images of the patient’s body using multiple X-ray images, which means that the X-ray tube must be continually energized and that patients are continuously exposed to radiation throughout that period. As a result of these complexities, most high-quality X-ray tubes for a CT scanner weigh between approximately 50 and 100 kilograms with the cooling mechanism.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Novel Digital X-ray Source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Realizing that the X-ray tube technology has essentially not changed in more than 120 years and remains a significant source of complexity and cost-driver of existing X-ray-based medical imaging systems, we developed a novel digital X-ray source that we believe addresses these drawbacks and will enable a new class of medical imaging systems that can be produced at a significantly lower cost than the existing systems.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technology has its roots in field emission display (“FED”) technology. FED technology was originally developed by Sony with other technology partners, for television screens and monitors, offering a novel way of lighting screen pixels compared to traditional cathode-ray tubes that were based on a one-source electron gun beam. The field emission display innovation used multiple nano-scale electron guns to achieve a much higher quality image with significantly reduced motion blur effects. In 2009, after having invested substantial resources in the development of this technology for over a decade including through a joint venture called Field Emission Technologies, Inc. (“FET”), Sony ceased development of the project.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2009, FET dissolved and transferred certain assets to FET Japan Inc. (“FETJ”). Former scientists on our team, who worked at FETJ, applied their expertise to develop non-display related applications, including our X-ray source technology. In 2011, our predecessor company acquired certain non-display related know-how from FETJ and certain members of the FETJ technical team joined us.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acquiring the technology, we spent over eight years developing a digital X-ray source for the medical imaging industry that could be produced on a commercial scale. Our X-ray source is a MEMs-based semiconductor cathode that achieves electron emission by a non-thermionic low-voltage trigger to approximately 100 million nano-scale molybdenum cones that act as multiple electron “guns,” instead of a single heated filament. The cathode is housed in a customized X-ray tube.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X-ray source has the following technological advantages over the analog X-ray source:</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Reduced duration of radiation exposure</w:t>
      </w:r>
      <w:r>
        <w:rPr>
          <w:rFonts w:ascii="Times New Roman" w:cs="Times New Roman" w:eastAsia="Times New Roman" w:hAnsi="Times New Roman"/>
          <w:sz w:val="18"/>
          <w:szCs w:val="18"/>
          <w:color w:val="auto"/>
        </w:rPr>
        <w:t>. Our X-ray source uses a digital chip that is designed to provide better control and enables near-instantaneous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on/off toggling of the electron beam. This source control also enables a precise synchronized operation, which we believe can potentially result in significantly reduced duration of radiation exposure compared to an analog X-ray source.</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X-ray source KvP / mA decoupling. </w:t>
      </w:r>
      <w:r>
        <w:rPr>
          <w:rFonts w:ascii="Times New Roman" w:cs="Times New Roman" w:eastAsia="Times New Roman" w:hAnsi="Times New Roman"/>
          <w:sz w:val="18"/>
          <w:szCs w:val="18"/>
          <w:color w:val="auto"/>
        </w:rPr>
        <w:t>Our X-ray source is designed to create imaging using one X-ray source chip because there is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and separation between the strength of X-ray penetration and the amount of photons for illumination (referred to as “KvP / mA”). KvP represents the speed of electrons that gives the X-ray its penetrating power, and higher KvP means the X-rays can penetrate higher density materials such as bones. mA represents the amount of photons or brightness levels of the X-ray image. For legacy X-ray sources, KvP / mA ratios were codependent in a linear relationship and each X-ray source could only produce one set of KvP / mA combinations dedicated for a particular use (for example, either tissue images or bone images, but not both simultaneously). We believe our X-ray source technology can produce multi-spectral imaging from one X-ray source, which allows for variable energy levels to be controlled during one scan. Therefore, one source chip can be used for multiple types of scans, such as head-scans, abdomen, mammography and angiograms, involving both soft and hard tissues at variable densities, simultaneously. We believe this multi-spectral imaging could also be applied to real-time video imaging. Our latest working prototype uses up to 160 KvP / mA under lab conditions, and we commercialize the multi-source Nanox.ARC with a range of 40 – 110 KvP / mA.</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Longer lifetime</w:t>
      </w:r>
      <w:r>
        <w:rPr>
          <w:rFonts w:ascii="Times New Roman" w:cs="Times New Roman" w:eastAsia="Times New Roman" w:hAnsi="Times New Roman"/>
          <w:sz w:val="18"/>
          <w:szCs w:val="18"/>
          <w:color w:val="auto"/>
        </w:rPr>
        <w:t>. Our X-ray source is based on a field of multiple electron guns on our MEMs-based cathode that spread the load of electron 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many “producers” compared to a single filament that heats to a high temperature in the analog X-ray tube. As a result, our digital X-ray source is designed to enable to produce an electron beam from different locations on the chip towards the anode during each duty cycle without the need for the complex, high precision rotating mechanism. In addition, the near instant on/off toggling feature of our digital X-ray source is designed to allow us to reduce the duration of each operation. As a result, we believe our medical imaging system will have higher stability and a longer lifetime, with a longer mean time between failures.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Simplified hardware structure</w:t>
      </w:r>
      <w:r>
        <w:rPr>
          <w:rFonts w:ascii="Times New Roman" w:cs="Times New Roman" w:eastAsia="Times New Roman" w:hAnsi="Times New Roman"/>
          <w:sz w:val="18"/>
          <w:szCs w:val="18"/>
          <w:color w:val="auto"/>
        </w:rPr>
        <w:t>. Because our chip-based X-ray source and tube are designed to be quickly triggered electronically, we are able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stationary-anode tubes arranged around the patient as opposed to one larger tube that rotates around the patient. We believe this could reduce the complexity and cost of the Nanox.ARC and the Nanox.ARC X compared to legacy imaging devices. This current approach to increase durability of the tungsten anode in imaging devices, the rotating anode mechanism requires both a significant increase in tube size and mechanical component cost to allow for the complex movements of the tube. In contrast, we believe by using our X-ray source we will be able to significantly reduce the size of X-ray tubes and simplify the structure of our medical imaging system.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X-ray source has the potential to replace the legacy X-ray source in other existing imaging systems, as well as the X-ray source in systems used in other industries, such as security scanners and NDT (non-distractive testing).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Nanox System</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developed, and continue to improve, the multi-source Nanox.ARC and Nanox.ARC X, medical devices that integrate our proprietary and novel X-ray source. Subject to receiving requisite regulatory approval, the version of the multi-source Nanox.ARC that is being introduced to the market is a 3D tomosynthesis imaging system that produces a 3D reconstruction of the scanned human body part. The Nanox.ARC, using our X-ray source, is designed to produce partial-body scans of various body parts, with remote operation capability, and to have a full kVp / mA energy throughout range as per industry standards, multi-spectral imaging range, as well as cloud connectivity and standard compliance safety mechanisms. It is designed for easy setup and operation with multiple stationary X-ray tubes arranged around the patient. Part of the software used to run the Nanox.ARC is cloud-computing based and integrated with the Nanox.CLOUD, as further explained below. The Nanox.ARC X is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Amongst the features the Nanox.ARC X has an even smaller footprint than the existing Nanox.ARC systems, enhancing one of our key differentiators. The new systems will also be easy to deploy and use, with an anticipated one-day setup time and “plug and play” functionality. The Nanox Systems achieve diagnostic imaging with up to 80% less radiation compared to CT scans, for equivalent body parts, and minimize structural superimposition for clearer imaging, compared to traditional X-rays.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Nanox.ARC and Nanox.ARC X, we have developed, and continue to improve, the Nanox.CLOUD, a companion cloud software that will allow for the delivery of medical screening as a service. With the Nanox.CLOUD, we anticipate that the high-cost components of existing medical imaging systems, such as analytics and computing software that are traditionally installed via multiple licenses on-premise and on a per-system basis, will become centralized through the cloud.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this will significantly reduce on-going software and IT licensing costs and enable a wide range of functionalities, such as multiple AI diagnostics and remote support.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Nanox System, if cleared and approved by the requisite regulatory authorities in applicable jurisdictions, and successfully deployed, will streamline the entire medical screening process ranging from scanning to support diagnostics, and solve the bottleneck of imaging-to-diagnostics.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expect to be able to offer the Nanox System for a substantially lower cost than existing medical imaging systems, which we believe is key to achieving our goal of making early-detection medical imaging systems more accessible globally. We believe our novel X-ray source is crucial to our ability to substantially reduce the manufacturing cost of the Nanox.ARC and Nanox.ARC X. Our digital X-ray source generates X-ray radiation that is measurably identical in all key metrics to the X-ray radiation generated by existing analog X-ray sources, but without creating the high temperature that results from the filament used in the analog X-ray tube, thereby eliminating the need for the costly cooling equipment. In addition, our digital X-ray source is designed to enable the Nanox.ARC to have multiple stationary tubes arranged around the patient, which allows for a more simplified structure, as opposed to requiring the heavy, complex, high-precision rotating mechanisms used in legacy CT devices. As a result, we expect that when we will be commercialized at scale, we will be able to offer the Nanox System at a substantially lower cost than the cost of existing medical imaging systems based on analog X-ray sources.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28, 2023, we received a 510(k) clearance from the FDA to market the Nanox.ARC (including the Nanox.CLOUD) as a stationary X-ray system intended to produce tomographic images of the human musculoskeletal system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4, 2024, we received 510(k) clearance from the FDA for the Nanox.ARC, for general use including human musculoskeletal system, pulmonary, intra-abdominal, and paranasal sinus indications, adjunctive to conventional radiography, on adult patients. In April 2025, we received a 510(k) clearance from the FDA for the Nanox.ARC X,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The Nanox Systems achieve diagnostic imaging with up to 80% less radiation compared to CT scans, for equivalent body parts, and minimize structural superimposition for clearer imaging, compared to traditional X-rays. In February 2026, we received a 510(k) clearance from the FDA for TAP2D, a new cloud enabled image enhancement capability for the Nanox.ARC and Nanox.ARC 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color w:val="auto"/>
        </w:rPr>
        <w:t>We are constantly working on product and technology future developments.</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ARC.AI </w:t>
      </w:r>
      <w:r>
        <w:rPr>
          <w:rFonts w:ascii="Times New Roman" w:cs="Times New Roman" w:eastAsia="Times New Roman" w:hAnsi="Times New Roman"/>
          <w:sz w:val="18"/>
          <w:szCs w:val="18"/>
          <w:color w:val="auto"/>
        </w:rPr>
        <w:t>is the AI-Enabled Image Analysis of the Nanox.ARC X. We are developing a Pulmonary solution which is expected to be the first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designed specifically for the Nanox.ARC X. We identified the need for Tomosynthesis AI solution as prime requirement to support the growing market demand for Cancer Screening initiatives. We are developing and evaluating artificial intelligence-based image analysis tools applied to chest scans acquired with the Nanox.ARC X digital tomosynthesis system. In development phase, these tools have demonstrated the potential to enhance the visibility of pulmonary nodules, which may represent early indicators of lung cancer. These AI-enabled capabilities are currently under development, have not yet been fully validated, and remain subject to further clinical evaluation and applicable regulatory review.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Clinical Sites: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gathering further clinical evidence will strengthen the support for our technology. We utilize clinical data as needed, for market validation, protocols and professional training. Under the Helsinki permit, we started to collect clinical sample images of multiple human body anatomies with a Nanox System that were deployed in the Shamir hospital in Israel. Additionally, we reached an agreement with Beilinson Hospital, a part of the Clalit Health Services, the largest health service organization in Israel, to conduct a human trial designed to assess the diagnostic capabilities of the Nanox System in detecting chest and lung diseases. This trial is currently ongoing.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Beilinson, tens of patients were already recruited for both the chest trial and the multisite trial. Together with the staff at Beilinson, we have reviewed patient’s datasets and the results are impressive, continuing the trend we’ve published in a recent whitepaper from the first patients.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Ghana, the multi-center trial site is actively recruiting and the Nanox System is actively scanning patients- both for the clinical trial as well as part of clinical practice.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also initiated a collaboration with NDS Wellness, an independent provider of wellness screening programs located in Michigan, U.S. As part of this collaboration, we are conducting clinical trial to further assess the clinical value of the Nanox.ARC system in the context of lung cancer detection, management, and screening. The study was approved by the IRB and will initiate shortly, and is intended to support the generation of clinical evidence regarding the use of digital tomosynthesis in pulmonary applications.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Cedars-Sinai Medical Center has joined a clinical trial evaluating a new artificial intelligence–based model under development by NanoxAI for the measurement of aortic valve calcification. This solution is intended to quantify aortic valve calcium levels, which are considered an important indicator associated with the risk of aortic valve disease. This model remains under development and is subject to ongoing clinical evaluation and validation.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Outside the United States, we have entered into a collaboration with Olympe Imagerie, a group of independent radiologists operating across multiple sites in the Île-de-France region in France and utilizing advanced imaging facilities. Through this collaboration, the Nanox.ARC system has been deployed at Hospital Privé Jacques Cartier in Massy, a private hospital within the Paris metropolitan area, as part of clinical trials designed to further assess the value of the Nanox.ARC in supporting lung cancer detection, management, and screening.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Nanox.ARC system was recently installed in Meir hospital Orthopedic Emergency department, in order to assess the clinical utility of DTS in the context of a ED in indications relevant for Orthopedics. The study will assess how integrating multi-source digital tomosynthesis into early triage workflows may support clinical decision-making, comparing Nanox.ARC with conventional X-ray and CT. This collaboration represents an important step in expanding our clinical evidence base and demonstrating the value of accessible 3D imaging at the point of care.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established HealthCCSng AI solution for opportunistic detection of CAC is currently being evaluated by three university medical centers (Mass General Brigham, University of Washington and Wake Forest Health) assessing the effect on patient treatment rates of CAC detection. In all sites we are currently in the 12-month follow up period and initial results will be presented in the SCCT conference this summer in San Diego. We are anticipating that the promising results together with new Dyslipidemia guidelines from AHA/ACC will further strengthen the necessity of such a solution for opportunistic screening in relevant healthcare organizations.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the Nanox System, and other Nanox products will enable us to accumulate a significant number of medical images, which have the potential to be used by collaborators, such as medical AI-analytics companies, through machine learning algorithms to increase the probability of early disease detection.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Nanox.ARC Business Model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plan to commercialize our X-ray source technology through three simultaneous business models: (i) the Subscription Model, (ii) the CapEx Model (sales) and (iii) the Licensing Model for OEM. While we have historically expected the Subscription Model to be our primary business model and the key vehicle to achieving our vision of increasing early detection of medical conditions that are discoverable by X-ray, we are increasingly shifting toward a growing CapEx component, driven by the expansion of our business partner base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Subscription Model (MSaaS Model)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foundation of the Subscription Model is our integrated offering of the Nanox.ARC and the Nanox.CLOUD, which we refer to as the Nanox System. Under the Subscription Model, which we also refer to as the MSaaS model (Medical Software as a Service), we aim to sell the Nanox System, following receipt of the requisite regulatory authorities in applicable jurisdictions, at low cost or to provide the system at no cost, and to receive a portion of the proceeds from each scan as the right-to-use licensing fee, and potentially additional fees for usage of the Nanox.MARKETPLACE, AI capability and teleradiology services, with the remaining amount allocated among our partners, including the local operators, radiologists, cloud storage providers, medical AI software providers and others, on a case by case basis. While the actual pricing charged by local operators may be greater than our suggested retail price, the retail price per scan in all markets other than the United States is still expected to be substantially less than the global average. In the United States, we expect the retail price to represent a significant reduction compared to the average cost of a CT scan. The Nanox System is operated by local operators independent from us, and we contract with third parties to provide the day-to-day maintenance of the Nanox System.</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we believe our novel X-ray source could provide existing market participants with the paradigm shift needed for preventive healthcare disruption, we also believe existing market participants are not likely to undertake the change-leadership route and will be slow to adopt the MSaaS model.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CapEx Model (Sales)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certain countries, including the United States, we intend to commercialize our X-ray source technology using the CapEx Model to accommodate specific local regulatory requirements, as well as increasing demand from our growing base of business partners. Under this model, we expect to sell the Nanox System, following receipt of the requisite regulatory authorities in applicable jurisdictions, for a one-time charge. We expect this retail price to be higher than the upfront sales price under the Subscription Model but still lower than the cost of existing medical imaging systems. If required by applicable regulatory requirements in any jurisdiction, we may enter into arrangements with third-party cloud vendors, on a case-by-case basis, which will be responsible for providing the cloud services (instead of the Nanox.CLOUD) and will be paid separately by the owner-operators of the Nanox Systems. In addition, we expect to contract with third-party service providers to provide maintenance services for the Nanox Systems at the owner-operators’ own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The Licensing Model (OEM Model)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the medical imaging industry will eventually migrate towards the recurring revenue-based MSaaS model, we expect certain leading market participants will be slower to adopt this model. For these market participants, we expect to provide an intermediate solution through which they will adopt our X-ray source technology for their existing systems. Under the Licensing Model, which we also refer to as the OEM (Original Equipment Manufacturer) model, we would be engaged to tailor our X-ray source to the specific systems of medical imaging device manufacturers or other X-ray device manufacturers or to license our X-ray source technology to them to develop new types of imaging systems for, among possible others, a one-time licensing fee upfront for the X-ray source, as well as recurring royalty payments for each system sold that incorporates our X-ray source. The licensees would be responsible for the operation of the medical imaging systems integrating our X-ray source. Although we expect to initially rely on the Licensing Model, in part, we view the Licensing Model as a transitional phase, aimed at maximizing the commercial value of our technology and strategic buy-in from market participants to our vision through partnership and commercial relationships.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X-Ray 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plan to commercialize our X-ray technology using the three simultaneous business models described above broadly across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globe in the next few years, including in the United States and certain countries in Asia, Europe, Africa, Latin America, and Australia. Our sales and marketing strategy varies depending on specific geographical regions, as different regions generally require different marketing approaches.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most countries, other than the United States, we expect to primarily market through local partnerships with strong national branding and operational market participants in the target region. These local partners would be engaged in deploying and operating our medical imaging systems, training and recruiting a local medical professional workforce to operate the systems and providing medical imaging diagnostics for the systems’ scan results.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U.S. go-to-market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market analysis of the U.S. market by clinicians, imaging administrators and directors, stakeholders recognize the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of the Nanox System and its more affordable approach to advanced imaging technology. Furthermore, outpatient facilities, such as freestanding emergency clinics, and pulmonary clinics showed interest in adopting the Nanox System. Specifically, because such facilities typically do not have CT capabilities, we believe such facilities view the Nanox System as a more affordable way to keep patients in-house for advanced imaging needs, combined with a 2D X-ray. In addition, even among facilities that already have CT capabilities, stakeholders have expressed interest in exploring the Nanox.ARC as a complementary solution, offering lower radiation dose, a smaller footprint, and a potentially more cost-efficient alternative for certain imaging use cases. Outpatient facilities also expressed potential interest in our MSaaS business model, which we believe could reduce the risk of an upfront purchase because the cost is based on actual use. We believe that gathering further clinical evidence will strengthen the support for our technology. Our current U.S. go-to-market strategy is comprised of three primary components: customer targeting, building a sales team and using a hybrid business model.</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terms of customer targeting, we believe several factors impact willingness to adopt our system, including the type of facility, its current imaging capabilities and imaging volumes, and geographic location, namely rural vs. urban. Our aim is to strategically engage segments that show early adoption potential, such as orthopedic clinics, skilled nursing facilities, freestanding emergency departments and urgent care facilities. We intend to continue to build clinical evidence particularly within the U.S. market, to support the adoption of our system, as well as reimbursement mechanisms, specifically with commercial payers. We’ve strategically realigned our focus to enhance our presence in the U.S. market, such that our initial efforts in commercialization and deployment within the U.S. are concentrated on select states. This approach allows us, in the near term, to optimize customer service, delivery and support. To execute our strategy, we have allocated internal sales resources and we are planning to leverage the USARAD network, in order to accelerate our initial penetration in the market. Furthermore, we are in the process of enhancing a U.S. based sales and service team that will seek to generate leads, close sales, manage relationships, and provide services for the Nanox System installed base. We are also in the process of engaging with independent service providers to provide service needs in remote areas and to decrease equipment downtime. To date, other operational needs (such as medical affairs, regulatory, billing, finance and contracting) are supported by the existing international Nanox organization.</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our business model in the U.S., we use a hybrid approach combining a usage-based MSaaS model with a CapEx Model to help promote adoption, based on different segments, with an increasing focus on CapEx-driven deployments supported by our growing network of channel partners We have designed a training program to promote the Nanox System, including enablement of channel partners to support sales, installation and ongoing customer engagement. We also intend to use a combination of pilot sites, training, service, sales, and marketing efforts to help meet customer needs, while leveraging third-party distributors and strategic partners to expand our market reach. These aspects of our business strategy require us to hire additional experienced healthcare business-development professionals as well as to build and manage relationships with channel partners, who are charged with raising awareness of the Nanox System among physicians, hospitals, urgent care operators, and large health systems throughout the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a U.S. Reimbursement Landscape Assessment for Nanox.ARC, it was found that the existing CPT code 76100 “</w:t>
      </w:r>
      <w:r>
        <w:rPr>
          <w:rFonts w:ascii="Times New Roman" w:cs="Times New Roman" w:eastAsia="Times New Roman" w:hAnsi="Times New Roman"/>
          <w:sz w:val="18"/>
          <w:szCs w:val="18"/>
          <w:i w:val="1"/>
          <w:iCs w:val="1"/>
          <w:color w:val="auto"/>
        </w:rPr>
        <w:t>Radiologic examination,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single plane body section (eg, tomography), other than with urography</w:t>
      </w:r>
      <w:r>
        <w:rPr>
          <w:rFonts w:ascii="Times New Roman" w:cs="Times New Roman" w:eastAsia="Times New Roman" w:hAnsi="Times New Roman"/>
          <w:sz w:val="18"/>
          <w:szCs w:val="18"/>
          <w:color w:val="auto"/>
        </w:rPr>
        <w:t>” would be a viable option to report tomosynthesis procedures utilizing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Nanox.ARC. Nanox.ARC users would be able to report with appropriate ICD-10-PCS code(s). These ICD-10-PCS codes are for reporting services and procedures performed in the inpatient hospital site of service. For the Nanox.ARC, clinics or hospitals operating it can use the CPT code 76100 for reporting. According to the National Physician Fee Schedule (MPFS) and related schedules, as of November 2025 and February 2026, reimbursement rates for DTS vary between uses by physicians and by hospital outpatients. Third-party payors may impose limits on coverage or reimbursement for diagnostic imaging services, including denying reimbursement for tests that do not follow recommended diagnostic procedures or can only be billed using an unlisted or miscellaneous code. Prior authorization is required for certain advanced imaging services through CMS’ Appropriate Use Criteria (AUC) program and private payer prior authorization programs. Currently, although there are no AUCs for tomosynthesis in general radiography, we plan to monitor the CMS AUC Program and Private Payers Prior Authorization process for radiology procedures for any change.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recently entered into a distribution agreement with Howard Technology Solutions (“Howard”) a division of Howard Industries to deploy, as of the date of this Annual Report, 300 Nanox.ARC systems across the U.S. over three years. In addition, we continue to advance the deployment of the Nanox.ARC systems through direct sales and commercial collaborations, with approximately 36 systems in various stages of deployment, additional 17 systems expected to be installed over the following months as part of the Nanox Imaging Network initiative (as described below), and have executed distribution agreements (including Howard) for approximately 360 CapEx systems in the U.S. over the next two to three years, with timing dependent on regulatory, operational, and market factors. Most of the deployed systems have not yet begun to generate revenues. Such anticipated volumes, if executed as expected, reflect the Company’s current commercial arrangements and the expected activities of its distribution partners; however, the timing and extent of actual purchases are subject to a number of factors, including market adoption, customer demand, site readiness, construction timelines, regulatory approvals, and the performance of such partners. While these agreements represent expected commercial activity over time, many have not yet resulted in revenue, and the timing and extent of revenue recognition will depend on the progression of deployments, system activations, and other factors, including the performance of our distribution partners. The introduction of new medical technologies typically involves complex and multi-stage processes, including integration into clinical workflows, compliance with regulatory frameworks, and development of supporting operational infrastructure. These factors may extend deployment timelines, particularly in early stages, and may impact the timing of revenue generation.</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Nanox Imaging Network (NIN). </w:t>
      </w:r>
      <w:r>
        <w:rPr>
          <w:rFonts w:ascii="Times New Roman" w:cs="Times New Roman" w:eastAsia="Times New Roman" w:hAnsi="Times New Roman"/>
          <w:sz w:val="18"/>
          <w:szCs w:val="18"/>
          <w:color w:val="auto"/>
        </w:rPr>
        <w:t>Nanox has initiated Nanox Imaging Network (“NIN”), a limited Proof-of-Concept (“POC”) initiative,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with Monarch Medical Management and Billing LLC (“Monarch”). NIN is intended to evaluate a network-based imaging services operating model in the United States, focused on providing imaging services through selected sites serving workers’ compensation and other specialized healthcare segments.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NIN POC, Nanox is responsible for certain technical and operational elements, including imaging system deployment, maintenance of its Nanox.ARC systems, connectivity and service support, while Monarch is responsible for site operations, personnel, regulatory permits, and local engagement. The initiative is intended to serve a range of healthcare providers, including orthopedic and spine clinics, occupational health providers, post-accident care providers, nursing homes and correctional healthcare facilities.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target segments addressed by the NIN POC, including workers’ compensation-related imaging services, are characterized by reimbursement structures that may allow for higher per-scan pricing compared to standard reimbursement frameworks, depending on payer arrangements, state-specific fee schedules and contractual terms. The NIN POC is intended, in part, to evaluate such reimbursement dynamics.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POC is currently in an early and limited deployment phase, with a limited number of sites identified and in various stages of setup. The POC is intended solely to assess operational, regulatory and economic feasibility. Nanox has not committed to a rollout of NIN, and there can be no assurance that the POC will be expanded, successfully implemented, or result in material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focus our service, training, sales, and marketing efforts for our AI solutions in the U.S., EU and UK markets and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 hospitals, HMOs, IDNs, marketplaces, pharmaceutical companies and insurers and third-party marketplaces.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Looking to the future of Nanox.AI, the strong validation of these solutions by multiple health systems around the world drives us to develop additional algorithms that can identify more health problems.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Nanox.AI is collaborating with a U.S.-based healthcare company that operates medical screening programs focused on early disease detection. Under the terms of this collaboration, Nanox.AI’s population health software solutions are integrated into the partner’s medical screening workflows across multiple imaging center locations in the United States.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this model, Nanox.AI provides technology solutions to a business customer that delivers screening services directly to individual consumers. As a result, Nanox.AI does not contract directly with end patients but rather supports consumer-facing healthcare services indirectly through its commercial partner. This business-to-business-to-consumer (B2B2C) approach is intended to allow Nanox.AI to participate in consumer healthcare markets while maintaining a business-to-business commercial relationship.</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We’re also expanding direct-to-clinician access to Nanox.AI solutions and launching new AI applications that have the potential to improve diagnostic accuracy, early detection, and patient management directly to clinics and physicians as an AI software add-on.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Nanox.AI continues to expand its software and artificial intelligence–enabled product portfolio to support clinical care management and advanced image analysis.</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Real+ Osteoporosis Care Management Platform</w:t>
      </w:r>
      <w:r>
        <w:rPr>
          <w:rFonts w:ascii="Times New Roman" w:cs="Times New Roman" w:eastAsia="Times New Roman" w:hAnsi="Times New Roman"/>
          <w:sz w:val="18"/>
          <w:szCs w:val="18"/>
          <w:color w:val="auto"/>
        </w:rPr>
        <w:t>. Real+ is a comprehensive osteoporosis care management software platform for which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completed. The solution is designed to support and automate key components of the osteoporosis care pathway, including patient intake, approval, follow-up, and ongoing monitoring. Real+ is tailored to the operational needs of Fracture Liaison Service (FLS) centers and is intended to support coordinated and timely care delivery while reducing administrative workload for clinical teams. Commercial deployment of Real+ remains subject to customer adoption, integration, and applicable regulatory and operational considerations.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AI-Based Aortic Valve Calcification Measurement (Under Development). </w:t>
      </w:r>
      <w:r>
        <w:rPr>
          <w:rFonts w:ascii="Times New Roman" w:cs="Times New Roman" w:eastAsia="Times New Roman" w:hAnsi="Times New Roman"/>
          <w:sz w:val="18"/>
          <w:szCs w:val="18"/>
          <w:color w:val="auto"/>
        </w:rPr>
        <w:t>Nanox is developing an artificial intelligence–based solution intended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 and quantify aortic valve calcification using standard non-contrast, non-gated CT scans. This solution is designed to support earlier identification of patients who may be at risk for aortic stenosis and who may benefit from additional clinical evaluation. This product is currently under development, has not been fully validated, and is subject to further clinical evaluation and applicable regulatory review.</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AI-Based Body Composition Measurement (Under Development). </w:t>
      </w:r>
      <w:r>
        <w:rPr>
          <w:rFonts w:ascii="Times New Roman" w:cs="Times New Roman" w:eastAsia="Times New Roman" w:hAnsi="Times New Roman"/>
          <w:sz w:val="18"/>
          <w:szCs w:val="18"/>
          <w:color w:val="auto"/>
        </w:rPr>
        <w:t>Nanox is also developing an artificial intelligence–based body composition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capability intended to assess fat and muscle parameters from CT imaging. This capability is being evaluated for potential inclusion in broader analytical frameworks, including biological age analysis methodologies described in academic literature. This solution remains under development and has not been validated for clinical use.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Nanox may evaluate potential combined applications of body composition analysis and aortic valve calcification measurement; however, any such combined solutions are at an early development stage and subject to further research, validation, and regulatory review. There can be no assurance that the AI-based solutions described above will be successfully developed, approved, or commercially deployed.</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Nanox Health IT (formerly VasoHealthcare IT). </w:t>
      </w:r>
      <w:r>
        <w:rPr>
          <w:rFonts w:ascii="Times New Roman" w:cs="Times New Roman" w:eastAsia="Times New Roman" w:hAnsi="Times New Roman"/>
          <w:sz w:val="18"/>
          <w:szCs w:val="18"/>
          <w:color w:val="auto"/>
        </w:rPr>
        <w:t>Nanox Health IT is a healthcare information technology services provider that serves hospitals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healthcare organizations in the United States, with personnel specializing in healthcare IT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Nanox Health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spacing w:after="0" w:line="18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Teleradiology Services and Nanox.MARKETPLACE</w:t>
      </w:r>
      <w:r>
        <w:rPr>
          <w:rFonts w:ascii="Times New Roman" w:cs="Times New Roman" w:eastAsia="Times New Roman" w:hAnsi="Times New Roman"/>
          <w:sz w:val="18"/>
          <w:szCs w:val="18"/>
          <w:color w:val="auto"/>
        </w:rPr>
        <w:t>. We currently focus our service, training, sales, and marketing efforts for our teleradiology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the Nanox.MARKETPLACE in the U.S. market. We target daytime customers, including urgent care facilities, stand-alone imaging facilities and outpatient imaging centers, as well as nighttime and weekend customers, comprised of hospitals and community hospitals (state and local government).</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continuing to explore potential synergies and the expansion of our offerings. We have completed the integration of the Nanox.ARC and the Nanox.CLOUD with the Nanox.MARKETPLACE, creating a 3D imaging system that enables remote readings of scans with AI-powered imaging analysis and a global teleradiology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of the Nanox.ARC and Nanox.ARC X</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optimized the MEMs proprietary manufacturing process and initially used our own equipment in the clean rooms located at the University of Tokyo to manufacture the MEMs X-ray chip. We commenced manufacture of the MEMs X-ray chips at our fabrication facility in Korea, which is expected to meet our currently anticipated manufacturing needs. To secure additional chip supply in anticipation of commercialization scale up and acceleration of manufacturing activity, we entered into an agreement with CSEM, a chip maker located in Switzerland.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 the final phase of the development under our original Research and Development Agreement with CSEM (a Swiss technology innovation center with MEMS Foundry Services). We have validated CSEM’s production process for our Nanox emitter, which is utilized in tubes for our Nanox.ARC systems. We will receive hundreds of production level chips as this phase concludes in or around the middle of 2026. We intend to transition to a production supply agreement and going forward will issue CSEM Purchase Orders as needed to supplement our chip supply needs. CSEM is additionally working on various novel emitter designs utilizing the company’s proprietary field emission technology targeting our OEM pursuits in the areas of security and inspection.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continued to engage third-party manufacturers and suppliers for the development and commercial production of our digital X-ray tubes for use in the Nanox.ARC and Nanox.ARC X. We intend to continue engaging third-party manufacturers and suppliers, following additional clearances and approvals by similar regulatory authorities in other jurisdictions, based on, among other things, cost effectiveness. We are currently developing both ceramic and glass-based digital X-ray tubes for use in the Nanox.ARC and Nanox.ARC X.</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Recently we adopted a restructuring plan intended to better align our manufacturing cost structure with our long-term financial model, support our path toward improved gross margins, and align our manufacturing capabilities with current and anticipated business needs and strategic priorities. As part of this plan and our broader cost reduction efforts, we are restructuring our manufacturing footprint to improve gross margins, reduce capital expenditures, and enhance operational efficiency. This includes transitioning away from certain manufacturing activities at our facility in South Korea, starting in the fourth quarter of 2025, and moving from a company-owned manufacturing model to a more fully outsourced approach. In connection with this transition, we expect to utilize our existing emitter inventory as we shift to a more efficient outsourced production model that is better aligned with current and anticipated demand.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restructuring, we will close our chip manufacturing line in South Korea, downsize our fabrication facilities, and transfer certain production activities to third-party international manufacturing partners, including the Swiss Center for Electronics and Microtechnology (CSEM). Following these changes, we intend to focus our operations in South Korea on research and development (R&amp;D) and tube production activities that support the Nanox.ARC platform. The restructuring is expected to be substantially completed during fiscal year of 2026.</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we expect to incur restructuring and related charges, consisting primarily of costs related to the impairment of machinery and equipment associated with our chip manufacturing line. We continue to evaluate the overall composition of the restructuring-related charges, including potential additional cash components. The remaining restructuring-related costs, if any, are expected to be incurred over the course of the implementation of the restructuring plan. The estimates of the total charges and the timing thereof are subject to a number of assumptions and uncertainties, and actual results may differ materially.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2023, we entered into a Manufacture and Supply Agreement with Varex, under which Varex will supply X-ray tubes utilizing the Nanox digital X-ray emitter for the Nanox.ARC system. The agreement was entered into after Varex completed a preliminary assessment of our digital X-ray emitter. Under the agreement, we may order X-ray tubes from Varex for use in our Nanox.ARC system. Varex agreed to manufacture and supply the X-ray tubes in exchange for payment therefor in the form of a revenue-sharing fee (subject to a minimum annual amount per system) based on the Company’s worldwide pay-per-scan revenue from Nanox.ARC systems using X-ray tubes manufactured by Varex. Subject to receipt of requisite local regulatory clearance, Nanox has also agreed to use X-ray tubes manufactured by Varex in a minimum percentage of all Nanox.ARC systems that are deployed and operating.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22, 2024, we entered into a Development and Purchase Agreement with SKAN-X Radiology Devices SRL (“CEI”), an Italian manufacturer of X-ray tubes. Under the agreement, CEI will manufacture X-ray tubes using semiconductor chips provided by the Company. The agreement establishes CEI as a preferred supplier, subject to meeting certain capacity and quality requirements, with the Company committing to purchase a minimum percentage of its tube requirements from CEI in regions where regulatory approval has been obtained.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8, 2025, we entered into a multi-year Volume Supply Agreement with Fabrinet, a leading global electronics manufacturing services provider from Singapore, to support the scalable manufacturing of Nanox.ARC X systems. Under this agreement, Fabrinet will provide contract manufacturing services including assembly, testing, procurement, and quality control, ensuring reliable and cost-effective product delivery aligned with Nanox’s specifications.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MSaaS Agreements for the Nanox System</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Outside the U.S. market, we have previously entered into a number of MSaaS agreements to deploy the Nanox.ARC (including the Nanox.CLOUD) in various regions. Under the terms of each agreement, we granted the other party a limited, non-transferable, sub-licensable right to access and operate the Nanox.ARC (including the Nanox.CLOUD) in the region applicable for such party. We undertake to provide a specified number of Nanox.ARCs (including the Nanox.CLOUD)to each entity based on agreed shipment schedules, subject to local regulatory approval and material compliance with acceptance test protocol, and subject the other party’s requirement to deliver to us a standby letter of credit or financial guarantee (the “Conditions Precedent”). The other party undertakes to deploy the Nanox.ARCs (including the Nanox.CLOUD) to provide a minimum number of scans per year on a pay-per-scan basis, and to pay a minimum annual fee. We undertake to provide billing services and training for a local medical professional workforce to operate the Nanox.ARC (including the Nanox.CLOUD) and typically also undertake to provide radiology and maintenance services to operate the Nanox.ARCs (including the Nanox.CLOUD). Each agreement will be in effect for multiple years, ranging from three to seven years from the date of the applicable agreement or the date of fulfilment of the Conditions Precedent, as applicable, which may be extended upon mutual consent.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20-F, Conditions Precedent under most of these MSaaS agreements are yet to be met, and the agreements in a few regions, such as Russia and Belarus, are on freeze. To the extent the Conditions Precedent under these MSaaS agreements are met, we expect that the terms of an applicable agreement will be further negotiated before such agreement is implemented. There is no guarantee that we will able to successfully negotiate or implement the terms of any former MSaaS agreement. See “Risk Factors—Risks Related to Our Business—The success of our business models is subject to numerous risks and uncertainties.”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parallel, we have entered into memorandums of understandings, preliminary agreements and distribution agreements with existing and potential partners for evaluation of market penetration and deployment in various regions.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its commercial deployment there are few dozens of systems in various stages of shipment and deployment, for both commercial and clinical use. In the U.S. we are deployed across several states, and we are making ongoing efforts to expand our commercial footprint in Europe and the U.S, with new distribution agreements. We are focusing on expanding our network of strategic collaborations, distributors and client base, and we have continued to advance the deployment of the Nanox.ARC systems through a combination of direct sales and commercial collaborations, with approximately 36 systems currently in various stages of deployment and an additional 17 systems expected to be installed in the coming months as part of the Nanox Imaging Network initiative. In addition, as of the date of this Annual Report, we have executed distribution agreements for approximately 360 CapEx systems in the United States over the next two to three years, with the timing of such deployments dependent on regulatory, operational, and market factors.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been carefully expanding the U.S. based commercial team to help ensure that we have the appropriate sales, clinical education and support infrastructure necessary to drive our deployment in the U.S. An important element of our go to market strategy in the US – as it will be in other markets – is to pursue the education of our potential customer base and key opinion leaders in medical imaging. Education and raising awareness are therefore key elements of our marketing efforts, as we are expanding our key opinion leaders eco-system and increasing clinical value evidence.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Nanox.ARC pipeline remains robust, and we are continuously recruiting to expand our sales and clinical support teams in the U.S. This expansion is crucial to support our growing customer base and ensure the successful deployment of our technology. We see a lot of interest from prospective and current customers and professional healthcare facilities. Introducing new and innovative technologies into the conservative U.S. market is always challenging, however we have a growing base of early adopters that have ordered and are using the Nanox system.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have commenced the deployment in the U.S. market, most of the MSaaS agreements are still in their initial phases, and the pace of deployment continues to be influenced by various external factors, including import licensing, construction timelines, and regulatory requirements in certain markets. These processes are time-consuming and may delay system activation.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our current revenue base remains at an early stage, and a portion of the deployed systems is not yet generating revenue. The pace of revenue ramp-up will depend primarily on the timing of system activations, their transition into revenue-generating operations, and the extent and timing of deployments by our business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enter into collaboration agreements in the ordinary course of business.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Given that the Nanox.CLOUD and the Nanox.MARKETPLACE are designed with the capability to receive scans from different imaging sources, in addition to the Nanox.ARC and Nanox.ARC X, we intend to explore additional collaboration opportunities in the near future. For example, in 2022, we invested $1.0 million for approximately 1% of the shares of Remedi co Ltd. (“Remedi”), a Korean radiation specialist company in radiography and therapy based on X-ray components. Remedi is a privately owned company, and we have an ongoing collaboration in the development of the high voltage power supply for Nanox.ARC. In August 2022, we entered into a supply agreement with Remedi in order to integrate Remedi’s two-dimensional (“2D”) imaging systems (using traditional X-ray tubes) to the Nanox.CLOUD and the Nanox.MARKETPLACE, creating a mobile 2D X-ray system that enables remote readings of scans with AI-powered imaging analysis and a global teleradiology solution, which we refer to as the “Nanox.CONNECT.” The Nanox.CONNECT is currently deployed in several beta sites in order to receive local regulatory approvals and explore and evaluate the business model and the potential service.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medical imaging equipment market in which we operate is highly competitive and includes a range of established multinational corporations as well as emerging technology-focused companies. The market is led by large, diversified vendors such as GE HealthCare, Siemens Healthineers, and Philips, which offer broad product portfolios across multiple imaging modalities and benefit from significant scale, brand recognition, and long-standing customer relationships. Several established mid-sized competitors, including Canon, Fujifilm, Samsung, Shimadzu, Agfa, Mindray, and Carestream, also compete in various imaging segments. In addition, newer entrants, such as Adaptix, Micro-X, Oxos, and UPI Healthcare Solutions, are seeking to compete through differentiated technologies, targeted clinical applications, or alternative business models. Competition is based on multiple factors, including technological capabilities, clinical performance, regulatory approvals, pricing, business model, service and support, and customer acceptance.</w:t>
      </w:r>
    </w:p>
    <w:p>
      <w:pPr>
        <w:spacing w:after="0" w:line="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Over time, we anticipate that the evolution in the industry will bring new players into the market. Digital healthcare disruptors such as cloud computing companies or leading IT companies may enter the industry and we believe that they may become partners over time through our Subscription Model.</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general matter, we view competition on two levels:</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digital X-ray sources with same or better attributes;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enterprises operating an similar business models.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terms of digital X-ray sources, the field emission display technology is known and a wide range of industry leaders have used it to attempt to create an alternative, digital source of X-ray. To our knowledge, the most well-known attempt to achieve a commercial grade, stable digital X-ray source was the use of carbon nano tubes (“CNT”) as the base material for a potential field emission-based solution, and at least one company has recently commercialized an X-ray system based on a CNT solution and there are several other companies currently in the process of developing this technology.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terms of the business model, we currently seek a first-mover advantage by introducing both the Subscription Model as well as utilizing the CapEx Model, as the main pre-requisite for this model is the low cost of the X-ray source (when manufactured at scale). However, the primary competition comes from established market participants.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our AI imaging solutions, a number of companies currently offer AI-based radiology solutions, which, to our knowledge, focuses on the detection and triage of acute and urgent conditions. In addition, legacy healthcare technology companies are expected to further expand their development efforts in the field of AI imaging solutions. For example, Siemens Healthineers has developed AI-Rad Companion, which provides automated post-processing and quantitative analysis of imaging datasets using AI-powered algorithms, primarily within its imaging ecosystem.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our teleradiology services, the teleradiology market is highly competitive, rapidly evolving, and fragmented, and is subject to changing technology and market dynamics. The market has recently experienced and is expected to continue to experience competitive pricing pressure and radiologist compensation pressure. We compete directly with both large and small-scale service providers who offer local, regional and national coverage operations. We believe that our principal competitors are StatRad, ONRAD and vRad. We compete to attract and retain relationships with customers and radiologists in different ways.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Privacy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Nanox System is being designed and developed with personal privacy, data security and protection in mind as a top priority for all development parties. Medical imaging information and other health information is highly personal and sensitive and thus regarded as a prime target for hacks and malicious theft. As part of our normal operations, we collect, process and retain personal identifying information regarding patients.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are subject to U.S. rules and regulations governing data protection, including HIPAA, HITECH and other privacy and data security regulations. See”—Government Regulation—Healthcare Regulatory Laws—Data Privacy and Security.”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Separate from, and in addition to, the GDPR requirements, certification requirements for the hosting of health data will vary by jurisdiction (and may or may not apply to hosts of health data). As the Nanox System is projected to operate in various EEA countries, we may be required to comply with other national healthcare regulations or regulatory requirements. For example, in France, there is a procedure as of April 1, 2018, for hosts of health-related data to obtain a prior certification with the competent certification body. Similarly, in Israel, provision of health data, including through cloud-based systems to health sector entities may be subject to certain data security certifications, such as ISO 27001 and ISO 27799 pertaining to the secured processing of health-related data. Such certifications require further compliance investments and maintenance costs.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dedicated to making our systems and software both HIPAA and GDPR compliant. We intend to submit our systems to an independent external audit on a regular basis as required by HHS. We also intend to develop our privacy protocols to comply with the GDPR. In addition, we are undertaking intendant measures to ensure a high-level of imaging data encryption, complete separation between the imaging data and personal information (anonymization) as well as MFA authentication procedures during on-boarding and usage of the Nanox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Nanox System and our operations are subject to extensive regulation by the FDA, and other federal and state authorities in the United States, as well as comparable authorities in foreign jurisdictions. The Nanox.ARC and Nanox.ARC X are subject to regulation as medical devices and radiation-emitting devices in the United States under the FDCA, as implemented and enforced by the FDA, and under comparable regulatory schemes in foreign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Medical Devices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within the United States are safe and effective for their intended uses or are substantially equivalent to a predicate device and otherwise meet the requirements of the FDCA.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certain exceptions, each medical device commercially distributed in the United States requires either FDA clearance of a 510(k) premarket notification, or approval of a PMA application. Under the FDCA, medical devices are classified into one of three classes—Class I, Class II or Class III—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Nanox.ARC and Nanox.ARC X are Class II devices that were subject to premarket notification and clearance under section 510(k) of the FDCA. To obtain 510(k) clearance, we submitted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In certain cases, the FDA may require additional information, including clinical data, to make a determination regarding substantial equivalence. In addition, the FDA collects user fees for certain medical device submissions and annual fees and for medical device establishments. On December 4, 2024, we received 510(k) clearance from the FDA for the Nanox.ARC, for general use including human musculoskeletal system, pulmonary, intra-abdominal, and paranasal sinus indications, adjunctive to conventional radiography, on adult patients. In April 2025, we received a 510(k) clearance from the FDA for the Nanox.ARC X, an AI-ready, multi-source digital tomosynthesis system that makes advanced 3D imaging possible in more places at significantly lower radiation dose than CT, which clearance covers the production of tomographic images for general use, including the human musculoskeletal system and pulmonary, intra-abdominal and paranasal sinus indications, adjunctive to conventional radiography on adult patients. The Nanox Systems achieve diagnostic imaging with up to 80% less radiation compared to CT scans, for equivalent body parts, and minimize structural superimposition for clearer imaging, compared to traditional X-rays. In February 2026, we received a 510(k) clearance from the FDA for TAP2D, a new cloud enabled image enhancement capability for the Nanox.ARC and Nanox.ARC X.</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process, which is a route to market for novel medical devices that are low to moderate risk and are not substantially equivalent to a predicate device.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The FDA requires each manufacturer to determine whether the proposed change requires submission of a 510(k),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until PMA approval is obtained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is granted. Also, in these circumstances, the manufacturer may be subject to significant regulatory fines or penalties.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the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5" w:name="page96"/>
    <w:bookmarkEnd w:id="9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in the case of applicable products, for manufacturers to compare the safety and performance of their medical devices to specific predicate devices in the clearance process. The FDA maintains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Also in September 2019, the FDA finalized guidance describing its current approach to the “Special 510(k)” program, which provides an optional pathway for certain well-defined device modifications where a manufacturer modifies its own legally marketed device, and design control procedures produce reliable results that can form, in addition to other 510(k) content requirements, the basis for substantial equivalence.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PMA Approval Pathway</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 which includes a standard application fee and an annual establishment registration fee.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We do not expect any of our products to be marketed pursuant to a PMA.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Clinical trials are almost always required to support a PMA and are sometimes required to support a 510(k) submission. All clinical investigations of devices to determine safety and effectiveness must be conducted in accordance with FDA and other regulatory requirements, including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7" w:name="page98"/>
    <w:bookmarkEnd w:id="97"/>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the promotion of “off-label” uses of cleared or approved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will be subject to periodic scheduled or unscheduled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Teleradiology</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healthcare industry is highly regulated. Our ability to operate profitably will depend in part upon the ability of us, our affiliated radiologists, and our customers to obtain and maintain all necessary licenses and other approvals to comply with applicable healthcare regulations. We believe healthcare regulations will continue to change. Therefore, we monitor developments in healthcare law and we are likely to be required to modify our operations from time to time as the business and regulatory environment changes. Although we believe that we are operating in compliance with applicable federal and state laws, we cannot assure you that review of our business by courts or regulatory authorities will not result in determination that could adversely affect our operations or that the healthcare regulatory environment will not change in way that restricts our operations. Future changes in healthcare regulation are difficult to predict and may constrain or require us to restructure our operations, which could negatively impact our business and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Radiological Devices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our products are also regulated by the FDA under the Electronic Product Radiation Control provisions of the FDCA because the Nanox.ARC and Nanox.ARC X contain radiation emitting components, and because we assemble these components during manufacturing and service activities. The Electronic Product Radiation Control provisions require radiation-producing products to comply with certain regulations and applicable performance standards. Manufacturers are required to certify in product labeling and reports to the FDA that their products comply with all necessary standards as well as maintain manufacturing, testing and sales records for their products. The Electronic Product Radiation Control provisions also require manufacturers to report product defects and affix appropriate labeling to covered products. Failure to comply with these requirements could result in enforcement action by the FDA, which can include any of the sanctions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Regulatory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Within the United States, our products and our customers will be subject to extensive regulation by a wide range of federal and state agencies that govern business practices in the medical device industry. These laws include federal and state anti-kickback, fraud and abuse, false claims, transparency and anti-corruption statutes and regulations. Internationally, other governments also impose regulations in connection with their healthcare reimbursement programs and the delivery of healthcare items and services.</w:t>
      </w:r>
    </w:p>
    <w:p>
      <w:pPr>
        <w:spacing w:after="0" w:line="180"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addition to FDA device registration and the tracking of medical X-ray producing equipment installations via Form 2579, the use of any device which produces ionizing radiation (X-Ray) is regulated by individual states. States’ X-Ray performance &amp; safety test rules vary widely. Typically, new equipment must be registered with the state or local radiation control agency by the facility or practice operating the equipment. Registrants must have certain tests performed or allow inspectors to perform such tests to assure compliance with health department requirements. Registration is typically good for one year and must be renewed annually. Changes made to equipment, including replacement of X-Ray tubes, may require additional notifications and/or recertification by a radiation physicist. Facilities must have proper shielding to protect against radiation exposure and states have different requirements for signage, warning sights and interlocks. States typically require X-ray equipment installation, testing and repair only be performed by approved personnel.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U.S. federal healthcare fraud and abuse laws will generally apply to our activities, among other reasons because we expect that our products will be covered under federal healthcare programs such as Medicare and Medicaid. 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A broad range of financial interactions with a healthcare provider, patient or customer may implicate the Anti-Kickback Statute. Statutory exceptions and regulatory safe harbors protect certain interactions if specific requirements are met. However, only those interactions that represent fair market value exchanges generally are protected by a safe harbor or exception. The government can exercise enforcement discretion in taking action against unprotected activities. Further, a person or entity does not need to have actual knowledge of the Anti-Kickback Statute or specific intent to violate it in order to have committed a violation. In addition, the government may assert that a claim involving items or services resulting from a violation of the federal Anti-Kickback Statute also constitutes a false or fraudulent claim for purposes of the federal False Claims Act or federal civil money penalties statute. Penalties for Anti-Kickback Statute violations may include both criminal penalties such as imprisonment and fines and civil sanctions such as civil penalties and possible exclusion from Medicare, Medicaid and other federal healthcare programs. Exclusion would mean that diagnostic tests using our products would no longer be eligible for reimbursement under federal healthcare programs.</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states have adopted laws similar to the Anti-Kickback Statute. Some of these state prohibitions apply to referral of patients for healthcare items or services reimbursed by any payor, not only federal healthcare programs. Insurance companies may also bring a private cause of action for treble damages against a manufacturer for a pattern of causing false claims to be filed under the federal Racketeer Influenced and Corrupt Organizations Act. We believe that we are operating in compliance with applicable federal and state anti-kickback laws and that our contractual arrangements with our customers are structured in manner that complies with such laws.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Another development affecting the healthcare industry is the increased use of the federal civil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In addition, various states have enacted false claim laws analogous to the Civil False Claims Act, although many of these state laws apply where a claim is submitted to any third-party payor and not merely a federal healthcare program.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Federal False Claims Act, we may be liable if we or one of our customers submitted a false claim. If we were found to have violated these laws and regulations and as result submitted or caused our customers to submit a false claim, any sanctions imposed under the Federal False Claims Act could result in substantial fines and penalties or exclusion from participation in federal and state healthcare programs which could have a material adverse effect on our business and financial condition. If we are excluded from participation in federal or state healthcare programs, our customers who participate in those programs could not do business with us. Federal regulatory and law enforcement authorities regularly review and enforce activities with respect to Medicare and Medicaid fraud and abuse regulations and other reimbursement laws and regulations, including laws and regulations that govern our activities and the activities of teleradiologists. These increased enforcement activities may have a direct or indirect adverse effect on our business, financial condition and results of operations. We believe that we are operating in compliance with these laws. However, if we are found to have violated such laws, our business, results of operations and financial condition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physician self-referral statute, known as the Stark Law, prohibits physicians from making referrals for certain designated health services, including radiology services, to any entity with which the physician has a financial relationship unless there is an exception in the statute that allows the referral. The entity that receives a prohibited referral from a physician may not submit the bill to Medicare for that service. Federal courts have ruled that violations of the Stark Law, as well as violations of the federal anti-kickback laws described above, can serve as the basis for Federal False Claims Act suits. Many state laws prohibit physician referrals to entities with which the physician has a financial interest or require that the physician provide the patient with notice of the physician’s financial relationship before making the referral. Violation of the Stark Law can result in substantial civil penalties for both the referring physician and any entity that submits a claim for healthcare service made pursuant to a prohibited referral. We believe that all our customer arrangements are in compliance with the Stark Law. However, these laws could be interpreted in a manner inconsistent with our operations. Federal or state self-referral regulation could impact our arrangements with certain customers.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among other things, created two new federal crimes: healthcare fraud and false statements relating to healthcare matters. The HIPAA healthcare fraud statute prohibits, among other things, knowingly and willfully executing, or attempting to execute, a scheme to defraud any healthcare benefit program, including private payors.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Similar to the federal Anti-Kickback Statute, a person or entity does not need to have actual knowledge of the statutes or specific intent to violate them in order to have committed a violation.</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HIPAA authorizes the imposition of civil money penalties against entities that employ or enter into contracts with individuals or entities who have been excluded from participation in the Medicare or Medicaid programs. We perform background checks on our affiliated radiologists, and we do not believe that we engage or contract with any excluded individuals or entities. However, a finding that we have violated this provision of HIPAA could have a material adverse effect on our business and financial condition. We believe that our services have not historically been provided in a way that would place either our clients or ourselves at risk of violating HIPAA anti-fraud statutes, including those in which we may be considered to receive an indirect reimbursement, because of the reassignment by us to our customers of the right to collect for final reads. We have entered into agreements, and may in the future enter into agreements, with hospitals that are subject to an integrity order by the U.S. Department of Health and Human Services Office of the Inspector General (the “HHS-OIG”) that requires the hospital to ensure that each subcontractor to the hospital fully complies with HIPAA and the terms of the integrity order, including written policies and procedures assuring compliance, and subjects each subcontractor to audit at the determination of the HHS-OIG. We could be vulnerable to prosecution under these statutes if any of our customers deliberately or recklessly submits claims that contain false, misleading or incomplete information. In addition, the administrative simplification provisions of HIPAA require the promulgation of regulations establishing national standards for, among other things, certain electronic healthcare transactions, the use and disclosure of certain individually identifiable patient health information and the security of the electronic systems maintaining this information. These are commonly known as the HIPAA transaction and code set standards, privacy rule and security rule, respectively. The administrative simplification provisions of HIPAA direct the federal government to adopt national electronic standards for automated transfer of certain healthcare data among healthcare payers plans and providers, intended to enable healthcare industry participants to communicate electronic data using a single set of standards. We are a covered entity under HIPAA and as such we must operate in compliance with the electronic transaction and code set standards, privacy rule and security rule. We are also a business associate under HIPAA because we provide services for or on behalf of other covered entities. We have developed policies, procedures, and systems for handling patient health information that we believe comply with the requirements of HIPAA.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Laws and regulations have also been enacted by the federal government and various states to regulate the sales and marketing practices of medical device and pharmaceutical manufacturers. The laws and regulations generally limit financial interactions between manufacturers and healthcare providers, require pharmaceutical and medical device companies to comply with voluntary compliance standards issued by industry associations and the relevant compliance guidance promulgated by the U.S. federal government and/or require disclosure to the government and/or public of financial interactions (so-called “sunshine laws”). Many of these laws and regulations contain ambiguous requirements or require administrative guidance for implementation. Manufacturers must adopt reasonable interpretations of requirements if there is ambiguity and those interpretations could be challenged. Given the lack of clarity in laws and their implementation, our activities could be subject to the penalty provisions of the pertinent federal and state laws and regulations.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practice of medicine, including the practice of radiology and teleradiology, is subject to state licensure laws, regulations and approvals. Physicians located in one state who provide professional medical services to patients located in another state via a telemedicine system must ordinarily hold a valid license to practice medicine in both the state where the physician is located and the state in which the patient is located. We have established a system for ensuring that our affiliated radiologists are appropriately licensed under applicable state law. If we are unable to obtain proper physician licenses or hospital credentials on behalf of our affiliated radiologists, or if our affiliated radiologists lose those licenses or credentials, our business financial condition and results of operations may be negatively impacted.</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Generally, corporate practice of medicine laws prohibit anyone but duly licensed physicians from exercising control over the medical judgments or decisions rendered by another physician. Given that general prohibition, some states permit business corporations to hold directly or indirectly customer contracts for the provision of medical services, including radiology and teleradiology, and to own a medical practice that provides such services, provided that only physicians exercise control over the medical judgments or decisions of other physicians. Moreover, the laws of such states may prohibit anyone but a physician who is duly licensed in such state from owning any interest in a medical practice that is incorporated or doing business in such state or the state of incorporation. Failure to comply with these laws could have material and adverse consequences including the judicially sanctioned refusal of third-party payers to pay for services rendered, the absolute right of customers to immediately repudiate the contract for services, malpractice claims or license revocation or suspension proceedings against the provider and possibly the hospital based upon the alleged violation of statute designed to protect the public, as well as civil or criminal penalties. We believe that we are following the corporate practice of medicine laws in each state in which our affiliated radiologists provide medical services. Each of these are duly licensed or qualified as a medical practice in the states where such license or qualification is required. We do not exercise control over the medical judgments or decisions of our affiliated radiologists. While we believe we follow the requirements of the corporate practice of medicine laws in each state where our affiliated radiologists provide services, these laws and their interpretations are continually evolving and may change in the future. Moreover, these laws and their interpretations are generally enforced by state courts and regulatory agencies that have broad discretion in their enforcement. If our arrangements with our affiliated radiologists or our customers are found to violate state laws prohibiting the practice of medicine by general business corporations or fee splitting, our business financial condition and ability to operate in those states could be adversely affected.</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states have enacted laws prohibiting physicians from splitting fees derived from the practice of medicine with anyone else. We believe that the management administrative technical and other nonmedical services we provide to each of our affiliated radiologists for service fee does not constitute fee splitting. Our belief notwithstanding, these laws and their interpretations also vary from state to state and are also enforced by state courts and regulatory authorities that have broad discretion in their enforcement. If our arrangements with our affiliated radiologists or our customers are found to violate state laws prohibiting the practice of medicine by general business corporations or fee splitting our business financial condition and ability to operate in those states could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CMS has certain anti-markup rules relating to diagnostic tests paid for by the Medicare program. The anti-markup rules are generally applicable where a physician or other supplier bills for the technical component or professional component of a diagnostic test that was ordered by the physician or other supplier or ordered by a party related to such physician or other supplier through common ownership or control, and the diagnostic test is performed by a physician that does not share a practice with the billing physician or other supplier. If the anti-markup rule applies to a diagnostic test, then the reimbursement provided by Medicare to the billing physician or other supplier for that transaction may be limited. Because our affiliated radiologists do not order diagnostic tests and no party under common control with either us or our affiliated radiologists orders diagnostic tests, we believe that the anti-markup rule does not apply to the professional services our affiliated radiologists perform. However, this rule could be subject to an interpretation that affects the amounts either we or our customers may be reimbursed by Medicare for professional diagnostic interpretations.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the past few years, the growth rate of advanced imaging volumes has slowed in part due to additional patient-related cost-sharing programs and an increasing trend of third-party payors intensifying their utilization management efforts, for example, through benefit managers who require prior authorizations to control the growth rate of imaging services generally. We expect that these trends will continue.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By way of example, in the United States, the Protecting Access to Medicare Act of 2014 required CMS, in conjunction with medical specialty societies, to adopt AUC for certain advanced diagnostic imaging services, including MRI, CT, nuclear medicine (including position emission tomography). Under this provision, payment is to be made to the furnishing professional for an applicable advanced diagnostic imaging service only if the claim indicates that the ordering professional consulted a qualified clinical decision support mechanism, as identified by HHS, as to whether the ordered service adheres to the applicable AUC. Applicable settings include physician offices, hospital outpatient departments, including emergency departments, ambulatory surgical centers and independent diagnostic testing facilities. Advanced imaging services ordered by certain physicians identified as having outlier-ordering partners will be subject to prior authorization for applicable imaging services provided to Medicare beneficiaries. In July 2022, CMS announced that the payment penalty phase for the AUC program would not begin on January 1, 2023 even if the public health emergency for COVID-19 ended in 2022 and that it was unable to forecast when the payment penalty phase would begin. The outlier methodology used by CMS will be subject to future notice and comment rulemaking before the prior authorization component is implemented. We cannot predict the full impact of this project.</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Third-party payors may impose limits on coverage or reimbursement for diagnostic imaging services, including denying reimbursement for tests that do not follow recommended diagnostic procedures or can only be billed using an unlisted or miscellaneous code. To the extent our customers will depend on third-party payors, unfavorable coding, coverage and reimbursement policies may constrict the profit margins of our provider customers, which may force us to lower our fees to attract and retain customers. If we are required to request new billing codes that more precisely identify and describe our imaging services, coverage is limited or reimbursement rates are inadequate, a healthcare provider might find it financially unattractive to own our diagnostic imaging systems. It is possible that third-party payor coding, coverage and reimbursement policies will affect the need or prices for our products in the future, which could significantly affect our financial performance and our ability to conduct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of December 31, 2025, all of our affiliated radiologists were located within the United States and are eligible to submit to Medicare and state Medicaid programs for reimbursement for services performed. Where our affiliated radiologists provide final reads that are reimbursable under these programs, our business model generally provides that we are still paid service fees by our customers who accept reassignment and bear the risk of loss of reimbursement when collecting from payers. As a result, our service fees do not fluctuate or change based solely on changes in Medicare or Medicaid reimbursement levels. Medicare reimbursement rules generally provide that the proper Medicare carrier to pay physicians’ claims is the Medicare carrier for the region in which the physician or practice providing the service is located rather than the Medicare carrier for the region in which the patient receiving the services is located. Many of our affiliated radiologists are located in a Medicare region that is different from the Medicare region in which the patients and treating hospitals are located. It may be necessary for our customers to enroll with additional Medicare carriers to properly submit claims for reimbursement. CMS has stated that for certain interpretation services provided to certain customers, reimbursement will be based upon the location of the interpreting physician, yet that reimbursement will be made by the Medicare carrier for the region in which the patient and facility are located. Whether this policy will be expanded to other types of interpretation services and facilities is unclear.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ACA was signed into law and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imposed, among other things, a new federal excise tax on the sale of certain medical devices, which, through a series of legislative amendments, was suspended, effective January 1, 2016, and subsequently repealed altogether on December 20, 2019,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we expect there will be additional challenges and amendments to the ACA in the future. By way of example, a case challenging the ACA’s requirement that private insurers cover certain preventative services is currently pending before the U.S. District Court Judge for the Northern District of Texas. In March 2023, the judge struck down this requirement with immediate nationwide effect on March 30, 2023, and, on appeal, in June 2024 the U.S. Court of Appeals for the Fifth Circuit held, among other things, that the ACA’s requirement that group health plans and health insurance issuers cover certain preventative services without cost-sharing is unconstitutional. The parties have petitioned to appeal the case to the U.S. Supreme Court, which granted certiorari in January 2025. It is unclear how these decisions and appeals, future decisions, subsequent appeals, and other efforts to repeal and replace the ACA will impact the ACA.</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including aggregate reductions of Medicare payments to providers of 2% per fiscal year, which was temporarily suspended from May 1, 2020 through March 31, 2022, followed by a 1% reduction in effect from April 2022 through June 2022 with the full 2% reduction resuming thereafter, and reduced payments to several types of Medicare providers. Further, a budget resolution passed by the House of Representatives in February 2025 proposed significant spending reductions for Medicaid and other federal programs, which, if enacted as part of a future U.S. federal budget, could impact our future business prospects. 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Medical device companies may be subject to U.S. federal and state and foreign health information privacy, security and data breach notification laws, which may govern the collection, use, disclosure and protection of health-related and other personal information. In the United States,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and its respective implementing regulations, including the final omnibus rule published on January 25, 2013, impose specified requirements relating to the privacy, security and transmission of individually identifiable health information. In certain cases,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The Health Information Technology for Economic and Clinical Health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Another example of recent U.S. data security requirements is FDORA, which, among other provisions, requires developers of certain “cyber devices” to design and implement plans to monitor, identify and address cybersecurity vulnerabilities of those devices and to submit those plans to the FDA as part of every new product application for a cyber device. “Cyber devices” are defined as devices that include software, connect to the internet, and contain any technological features that could be vulnerable to cybersecurity threats. This provision has entered into effect on March 29, 2023.</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certain state and non-U.S. laws, such as the GDPR, govern the privacy and security of health information in certain circumstances, some of which are more stringent or broader in scope than HIPAA and many of which differ from each other in significant ways and may not have the same effect, thus complicating compliance efforts. Further, “business associates,” defined as independent contractors or agents of covered entities that create, receive, maintain or transmit protected health information in connection with providing a service for or on behalf of a covered entity, are also subject to certain HIPAA privacy and security standards. Failure to comply with these laws, where applicable, can result in the imposition of significant civil and/or criminal penalties and private litigation. For example, the California Consumer Privacy Act (CCPA), which took effect on January 1, 2020, and was further expanded by the California Privacy Rights Act (CPRA), which took effect on January 1, 2023, presents one of the broadest U.S. state privacy laws. It imposes heightened transparency obligations about data collection, use, and sharing practices, adds restrictions on the transfer of personal information to third parties including for advertising or analytics purposes and grants data privacy rights to consumers. Following the Californian example, various U.S. states have passed, or are in the process of passing, similar state privacy laws. Non-compliance with state privacy laws could result in regulatory investigations and enforcement actions, private litigation (including class actions), significant fines and remediation costs, operational restrictions, and reputational harm. In Europe, the GDPR introduced strict requirements for processing the personal data of individuals. Companies that must comply with the GDPR face increased compliance obligations and risk, including more robust regulatory enforcement of data protection requirements and potential fines for noncompliance as set out above. The State of Israel has also implemented data protection laws and regulations, including the Israeli Protection of Privacy Law of 1981.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5" w:name="page106"/>
    <w:bookmarkEnd w:id="105"/>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While it is generally the laws of the jurisdiction in which our business is located apply, there is a risk that data protection regulators of other countries may seek jurisdiction over our remotely activities in locations in which we process data of our customers, but do not have an operating entity. Where the local data protection and privacy laws of a jurisdiction apply, we may be required to register our operations in that jurisdiction or make changes to our business so that personal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plan to market and deploy our Nanox System broadly across the globe, we will be subject to regulations applicable to medical and radiation-emitting devices in the jurisdictions in which we operate, which regulations vary among countries. While some countries’ regulations may not impose barriers to marketing and selling our products or only require certain notification, others may require that we obtain the clearance, registration or approval of a specified regulatory body. Process for obtaining such clearance, registration or approvals may involve additional testing and time. Furthermore, complying with foreign regulatory requirements can be expensive and time-consuming, and we will need to seek for regulatory clearances or approvals in each country in which we plan to market our products.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depending on the country, if we modify our products, we may need to apply for additional regulatory clearances or approvals before we are permitted to sell the modified product. Also, for maintaining our authorizations in a particular country, we will need to continue meeting quality and safety standards required in such country.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Finally, while regulatory clearance or approval by the FDA does not ensure registration, clearance or approval by regulatory authorities in other countries, registration or regulatory clearance or approval in one country, or denial thereof, may have effects on the regulatory process in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2020, two securities class action complaints were filed in the United States District Court for the Eastern District of New York against the Company and certain then-current officers and a director, which were subsequently consolidated and captioned as </w:t>
      </w:r>
      <w:r>
        <w:rPr>
          <w:rFonts w:ascii="Times New Roman" w:cs="Times New Roman" w:eastAsia="Times New Roman" w:hAnsi="Times New Roman"/>
          <w:sz w:val="18"/>
          <w:szCs w:val="18"/>
          <w:i w:val="1"/>
          <w:iCs w:val="1"/>
          <w:color w:val="auto"/>
        </w:rPr>
        <w:t>White v. Nano-X Imaging Ltd. et al.</w:t>
      </w:r>
      <w:r>
        <w:rPr>
          <w:rFonts w:ascii="Times New Roman" w:cs="Times New Roman" w:eastAsia="Times New Roman" w:hAnsi="Times New Roman"/>
          <w:sz w:val="18"/>
          <w:szCs w:val="18"/>
          <w:color w:val="auto"/>
        </w:rPr>
        <w:t xml:space="preserve">, Case No. 1:20-cv-04355 (the “White Action”), alleging violations of securities laws on behalf of all persons and entities that purchased or otherwise acquired the Company’s publicly traded securities between August 21, 2020 and September 15, 2020, and seeking unspecified damages. In addition, on October 5, 2021, a class action complaint was filed in the United States District Court for the Eastern District of New York against the Company and certain of its officers, captioned </w:t>
      </w:r>
      <w:r>
        <w:rPr>
          <w:rFonts w:ascii="Times New Roman" w:cs="Times New Roman" w:eastAsia="Times New Roman" w:hAnsi="Times New Roman"/>
          <w:sz w:val="18"/>
          <w:szCs w:val="18"/>
          <w:i w:val="1"/>
          <w:iCs w:val="1"/>
          <w:color w:val="auto"/>
        </w:rPr>
        <w:t>McLaughlin v. Nano-X Imaging Ltd. et al.</w:t>
      </w:r>
      <w:r>
        <w:rPr>
          <w:rFonts w:ascii="Times New Roman" w:cs="Times New Roman" w:eastAsia="Times New Roman" w:hAnsi="Times New Roman"/>
          <w:sz w:val="18"/>
          <w:szCs w:val="18"/>
          <w:color w:val="auto"/>
        </w:rPr>
        <w:t>, Case No. 1:21-cv-05517 (the “McLaughlin Action”). The amended complaint in that action, filed on April 12, 2022, alleges that defendants violated the federal securities laws in connection with certain disclosures concerning the cost of the Nanox.ARC system as well as the comparison of the Nanox.ARC to CT scanners, among other allegations. The Lead Plaintiff in the McLaughlin Action seeked to represent a class of investors who purchased the Company’s publicly-traded securities between August 21, 2020 and November 17, 2021. The Company entered into a term sheet on April 28, 2023, to settle all shareholder class action litigation related to the McLaughlin Action and the consolidated White Action. On June 2, 2023, the Company entered into a formal settlement agreement to settle the McLaughlin Action and the consolidated White Action for $8 million. On October 31, 2023, Magistrate Judge Kuo preliminarily approved the settlement. Due to the settlement agreement, during December 2023 the Company deposited $5 million and the D&amp;O insurance carrier deposited $3 million in a trust account in connection with the settlement agreement. On February 15, 2024, the court held a final approval hearing, during which she requested that the parties submit updated settlement claims information by letter on or before February 29, 2024 for incorporation into a final report and recommendation. The parties submitted the letter on February 29, 2024, and on April 17, 2024, Magistrate Judge Kuo issued a report and recommendation recommending that Judge Kovner grant the motion for final approval of the settlement. On May 7, 2024, Judge Kovner entered an order adopting Magistrate Judge Kuo’s report and recommendation and finally approving the settlement. On May 10, 2024, the judgment was entered, and the case was dismissed with prejudice. Due to the settlement agreement, during December, 2023 the Company deposited $5 million and the D&amp;O insurance carrier deposited $3 million in a trust account in connection with the settlement agreement.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Division of Enforcement of the U.S. Securities &amp; Exchange Commission (the “SEC” or the “Commission”) conducted an investigation to determine whether there had been any violations of the federal securities laws, relating to the development cost of the Company’s Nanox.ARC prototypes, as well as the Company’s estimate for the cost of assembling the final Nanox.ARC product at scale, among other things. The Company and Ran Poliakine, former Chairman of the Board of Directors of the Company, have reached final agreements with the SEC staff to settle this matter, which agreements were approved by the United States District Court for the Southern District of New York in October 2023. The Company paid a civil penalty in the amount of $650,000 and was permanently enjoined from violating Section 17(a)(2) of the Securities Act of 1933 (the “Securities Act”) and Section 13(a) of the Securities Exchange Act of 1934 (the “Exchange Act”) and Rules 12b-20 and 13a-1 thereunder. Mr. Poliakine paid disgorgement of $240,000, together with prejudgment interest of $26,836.39, paid a civil penalty of $150,000, and was permanently enjoined from violating Section 17(a)(2) of the Securities Act and aiding and abetting any violation of Section 13(a) of the Exchange Act and Rules 12b-20 and 13a-1 thereunder.</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28, 2021, a complaint was filed in the United States District Court for the Central District of California against the Company, the Company’s recently-formed Delaware subsidiary and Nanox Gibraltar PLC (“Gibraltar Entity”) from which the Company received certain assets, as well as Mr. Ran Poliakine and certain other unidentified parties, alleging several causes of action including breach of a consulting agreement between the plaintiff and Gibraltar Entity that was entered into in 2015. The plaintiff demanded payment of unpaid consulting fees from Gibraltar Entity in the amount of approximately $1 million and approximately $29.5 million from the Company relating to his claimed entitlement to warrants in Gibraltar Entity. On February 15, 2022, the Company moved to dismiss the complaint on the grounds, among others, that it was not a party to the agreement with the plaintiff, and it is not Gibraltar Entity’s legal successor for any liabilities that Gibraltar Entity may owe to the plaintiff. On June 4, 2022, the Court granted the motion to dismiss with leave to amend. The plaintiff did not amend the complaint, and on July 20, 2022, the Court entered judgment in the Company’s favor (the “First Gibraltar Judgment”).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or about December 21, 2023, a claim was filed in Israel against the Company, the Gibraltar Entity, and the late Mr. Ran Poliakine, based on allegations previously dismissed in the First Gibraltar Judgment. The Company submitted its statement of defense on September 15, 2024 and so did the estate of the late Mr. Ran Poliakine (the “Estate”). In its statement of defense, the Company reiterated its strong denial of the plaintiff’s baseless claims and emphasizes that the Company was never a party to the consulting agreement with the plaintiff. In addition, the Company is not responsible for any potential liabilities of Gibraltar Entity, which is a separate legal entity. On April 5, 2024, the Gibraltar entity filed an amended claim and a request for an anti-suit injunction (“ASI”) in Gibraltar against the plaintiff. On November 18, 2024, the Gibraltar court granted the Gibraltar entity’s request and issued an ASI, preventing the plaintiff from continuing to pursue the present claim against the Gibraltar entity in Israel. As a result, the dispute between the plaintiff and the Gibraltar entity will be adjudicated before the Gibraltar court, in accordance with Gibraltar law. In January 2025, the plaintiff filed a new claim against the Company with the Gibraltar court, which was dismissed due to procedural defects. The plaintiff filed an additional claim against the Company, which was served on the Company on December 25, 2025. The Company decided not to contest the jurisdiction of the Gibraltar court and consent to the Gibraltar Jurisdiction, and will therefore submit a statement of defense in Gibraltar court. In light of the above, on February 1, 2026, the plaintiff filed with the court in Israel a motion seeking to dismiss the claim submitted against the Company in Israel and thereby close the proceedings in Israel. The Company has submitted its response to the motion, together with a request for an award of costs, on April 26, 2026, in which it argued that there was no basis to file the claim against it in the first place, as its adjudication is contingent upon a prior determination of the date of termination of the engagement between the Plaintiff and Gibraltar Entity, before the court in Gibraltar, and only thereafter, to the extent it is determined that a breach occurred (which is denied), could the claims against the Company, which are wholly denied, be addressed.</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5, 2022, a complaint was filed in the Court of Common Pleas of Washington County, Pennsylvania against several defendants, including Dr. Michael Yuz and USARAD, alleging medical negligence due to the failure to properly diagnose metastatic breast cancer. Dr Yuz’s only involvement in the case was on July 18, 2017, prior to our acquisition of USARAD, when he reviewed and interpreted an imaging study, identified a lesion and referred for an additional imaging. The only claim against USARAD is for vicarious liability based on Dr. Yuz’s involvement, as an employee of USARAD. As part of the settlement of the case, the plaintiff fully and finally released Dr. Yuz, USARAD and the Company, in exchange for $20,000 which was paid on behalf of Dr. Yuz and USARAD by the Company’s insurance carrier.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2023, a claim was asserted in Edgar County, Illinois against several defendants, including USARAD and a USARAD radiologist, alleging medical negligence relating to the failure to timely diagnose and treat a cervical spinal cord injury following a fall, including allegations that the radiologist misinterpreted a cervical CT and failed to recommend additional emergent diagnostic imaging. The matter remains in litigation and is proceeding through depositions.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7, 2025, a claim was filed in Saint Lawrence County, New York against several defendants, including USARAD and another USARAD radiologist, alleging medical negligence arising from the alleged misinterpretation of a CT scan and an alleged failure to diagnose a perforation of the sigmoid colon, which purportedly resulted in sepsis and the need for surgical intervention. The matter is in discovery pursuant to a Preliminary Conference Order, with depositions to be completed by October 30, 2026.</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14, 2025, a claim was filed in the Court of Common Pleas of Philadelphia County, Pennsylvania against several defendants, including a USARAD radiologist, alleging medical negligence based on the failure to properly interpret a CT scan of the abdomen and the failure to recommend additional diagnostic testing, which allegedly delayed the diagnosis of colon cancer. The matter is in its early stages with pleadings closed and discovery ongoing.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14, 2026, an amended claim was filed in the Circuit Court of the 1st Judicial Circuit in and for Okaloosa County, Florida, against several defendants, including USARAD, and a USARAD radiologist, alleging failure to diagnose an aneurysm and negligent communication to an ordering physician. The matter is in its early stages.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2025, we received a letter from a shareholder detailing certain purported concerns and allegations relating to representations made during negotiations regarding a certain asset transaction. On April 19, 2026, we entered into a settlement agreement with said shareholder, pursuant to which the alleging shareholder, on its own behalf and on behalf of its shareholders, fully released us from any and all claims, including those mentioned in the shareholder’s letter, claims relating to the asset transaction, and claims relating to our relationship with the shareholder and its affiliates and shareholders. In return for the release, and without admission of any liability, we issued the shareholder 450,000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IMAGING LTD, an Israeli Company (“Nanox IL”), was incorporated on December 20, 2018 and commenced its operations on September 3, 2019.</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19, 2019, Nanox IL established Nanox Imaging Inc. (“Nanox Japan”), a wholly owned subsidiary in Japan.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25, 2020, Nanox IL established Nano-X Korea Inc. (“Nanox Korea”), a wholly owned subsidiary in Korea.</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13, 2021, Nanox IL established Nano-X Imaging Inc (“Nanox Inc.”), a wholly owned Delaware subsidiary. On November 2, 2021, Nanox Inc. completed the acquisition of 100% of the shares of USARAD Holdings, Inc., a Delaware corporation. On November 19, 2025, Nanox Inc. completed the acquisition of 100% of the shares of Vaso Healthcare IT Corp., a Delaware corporation, which subsequently changed its name to Nanox Health IT Inc.</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30, 2021, Nanox Inc. established a new wholly-owned Delaware subsidiary, Nano-X MDW Inc, which owns the platform and other assets purchased by us from MDWEB, LLC on November 3,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4, 2021, Nanox IL purchased all the shares of Nano-X AI Ltd. (“Nanox AI”), an Israeli company formerly named Zebra Medical Vision Ltd. Nanox AI has a wholly owned Delaware subsidiary named Nanox-X AI Inc.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 2024, Nanox IL established Nanox Impact Inc. (“Nanox Impact”), a wholly owned Delaware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in a leased facility in Petach Tikva, Israel.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19, 2023, we signed a new agreement to lease 3,080 square meters of office space in Petach Tikva, Israel, for a term of 60 months with an option for extension of additional 60 months.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Impact Inc. leases office space of approximately 2,528 square feet in Ridgefield Park, New Jersey. The monthly rent payment for this agreement is approximately $5,500.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2020, we purchased approximately 11,889 square meters of land in Yongin, Geonggi province, Korea, on which we built our fabrication facility for approximately $6.2 million, which is operational.</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USARAD leases approximately 6,000 square feet in Oakland Park, Broward County, Florida, under a lease agreement that expires on December 31, 2027. The monthly base rent payment for this agreement is approximately $12,000.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audited consolidated financial statements and the related notes included elsewhere in this annual report on Form 20-F.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“Item 3. Key Information—D. Risk Factors” and in other parts of this annual report on Form 20-F. Our consolidated financial statements have been prepared in accordance with U.S. GAAP. The functional currency of NANO-X IMAGING LTD is the U.S. dollar.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is focused on driving the world’s transition to preventive health care by delivering an integrated, end-to-end medical imaging and healthcare services platform.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Nanox combines affordable imaging hardware, advanced AI-based solutions, cloud-based software, access to remote radiology, health IT solutions, and a marketplace to enable earlier detection, improved clinical efficiency, and broader access to care.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Nanox ecosystem includes </w:t>
      </w:r>
      <w:r>
        <w:rPr>
          <w:rFonts w:ascii="Times New Roman" w:cs="Times New Roman" w:eastAsia="Times New Roman" w:hAnsi="Times New Roman"/>
          <w:sz w:val="18"/>
          <w:szCs w:val="18"/>
          <w:u w:val="single" w:color="auto"/>
          <w:color w:val="auto"/>
        </w:rPr>
        <w:t>Nanox.ARC</w:t>
      </w:r>
      <w:r>
        <w:rPr>
          <w:rFonts w:ascii="Times New Roman" w:cs="Times New Roman" w:eastAsia="Times New Roman" w:hAnsi="Times New Roman"/>
          <w:sz w:val="18"/>
          <w:szCs w:val="18"/>
          <w:color w:val="auto"/>
        </w:rPr>
        <w:t xml:space="preserve">, a cost-effective, 3D multi-source digital tomosynthesis imaging system designed for ease of use and scalability; </w:t>
      </w:r>
      <w:r>
        <w:rPr>
          <w:rFonts w:ascii="Times New Roman" w:cs="Times New Roman" w:eastAsia="Times New Roman" w:hAnsi="Times New Roman"/>
          <w:sz w:val="18"/>
          <w:szCs w:val="18"/>
          <w:u w:val="single" w:color="auto"/>
          <w:color w:val="auto"/>
        </w:rPr>
        <w:t>Nanox.AI</w:t>
      </w:r>
      <w:r>
        <w:rPr>
          <w:rFonts w:ascii="Times New Roman" w:cs="Times New Roman" w:eastAsia="Times New Roman" w:hAnsi="Times New Roman"/>
          <w:sz w:val="18"/>
          <w:szCs w:val="18"/>
          <w:color w:val="auto"/>
        </w:rPr>
        <w:t xml:space="preserve">, a suite of AI-based algorithms that augment the interpretation of routine CT imaging to identify early signs often associated with chronic disease; </w:t>
      </w:r>
      <w:r>
        <w:rPr>
          <w:rFonts w:ascii="Times New Roman" w:cs="Times New Roman" w:eastAsia="Times New Roman" w:hAnsi="Times New Roman"/>
          <w:sz w:val="18"/>
          <w:szCs w:val="18"/>
          <w:u w:val="single" w:color="auto"/>
          <w:color w:val="auto"/>
        </w:rPr>
        <w:t>Nanox.CLOUD</w:t>
      </w:r>
      <w:r>
        <w:rPr>
          <w:rFonts w:ascii="Times New Roman" w:cs="Times New Roman" w:eastAsia="Times New Roman" w:hAnsi="Times New Roman"/>
          <w:sz w:val="18"/>
          <w:szCs w:val="18"/>
          <w:color w:val="auto"/>
        </w:rPr>
        <w:t xml:space="preserve">, a cloud-based platform for secure data management, storage, and advanced imaging analytics; </w:t>
      </w:r>
      <w:r>
        <w:rPr>
          <w:rFonts w:ascii="Times New Roman" w:cs="Times New Roman" w:eastAsia="Times New Roman" w:hAnsi="Times New Roman"/>
          <w:sz w:val="18"/>
          <w:szCs w:val="18"/>
          <w:u w:val="single" w:color="auto"/>
          <w:color w:val="auto"/>
        </w:rPr>
        <w:t>Nanox.MARKETPLACE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USARAD Holdings</w:t>
      </w:r>
      <w:r>
        <w:rPr>
          <w:rFonts w:ascii="Times New Roman" w:cs="Times New Roman" w:eastAsia="Times New Roman" w:hAnsi="Times New Roman"/>
          <w:sz w:val="18"/>
          <w:szCs w:val="18"/>
          <w:color w:val="auto"/>
        </w:rPr>
        <w:t xml:space="preserve">, which provides access to remote radiology and cardiology experts and comprehensive teleradiology services; and </w:t>
      </w:r>
      <w:r>
        <w:rPr>
          <w:rFonts w:ascii="Times New Roman" w:cs="Times New Roman" w:eastAsia="Times New Roman" w:hAnsi="Times New Roman"/>
          <w:sz w:val="18"/>
          <w:szCs w:val="18"/>
          <w:u w:val="single" w:color="auto"/>
          <w:color w:val="auto"/>
        </w:rPr>
        <w:t>Nanox Health IT</w:t>
      </w:r>
      <w:r>
        <w:rPr>
          <w:rFonts w:ascii="Times New Roman" w:cs="Times New Roman" w:eastAsia="Times New Roman" w:hAnsi="Times New Roman"/>
          <w:sz w:val="18"/>
          <w:szCs w:val="18"/>
          <w:color w:val="auto"/>
        </w:rPr>
        <w:t xml:space="preserve"> combines deep healthcare IT expertise with leading technology partners to deliver RIS, PACS, AI, dictation, and secure infrastructure solutions that streamline workflows and support safer, more efficient care delivery.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By integrating imaging technology, AI, cloud infrastructure, clinical expertise, a marketplace, and health information technology, Nanox seeks to lower barriers to adoption, improve utilization, and advance preventive care worldwide.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receipt of clearances from the FDA and the CE mark for the Nanox.ARC (including the Nanox.CLOUD) and clearances from the FDA to market the Nanox.ARC X (including the Nanox.CLOUD), we are marketing and deploying Nanox Systems broadly across the globe at a substantially lower cost compared to currently available medical imaging systems, such as CT. We believe that our technology’s relatively low cost will enable us to increase accessibility and affordability of early-detection medical imaging systems globally, substantially reduce wait-times for imaging results and increase early detection rates compared to currently employed imaging process protocol.</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28, 2023, the Company received clearance from the FDA to market the Nanox.ARC (including the Nanox.CLOUD) as a stationary X-ray system intended to produce tomographic images of the human musculoskeletal system adjunctive to conventional radiography, on adult patients. On December 4, 2024 the Company received 510(k) clearance from the FDA for its Nanox.ARC (including the Nanox.CLOUD) as a stationary X-ray system intended to produce tomographic images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The current FDA-cleared version of the Nanox.ARC is not intended for mammographic, angiographic, cardiac, pulmonary, intra-abdominal, intra-cranial, interventional, or fluoroscopic applications, or for imaging pediatric or neonatal patients. On February 25, 2025, the Company received its CE (Conformité Européenne) mark certification to market the multi-source Nanox.ARC system, including the Nanox.CLOUD, its accompanying cloud-based infrastructure in Europe.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Nanox.ARC X</w:t>
      </w:r>
      <w:r>
        <w:rPr>
          <w:rFonts w:ascii="Times New Roman" w:cs="Times New Roman" w:eastAsia="Times New Roman" w:hAnsi="Times New Roman"/>
          <w:sz w:val="18"/>
          <w:szCs w:val="18"/>
          <w:color w:val="auto"/>
        </w:rPr>
        <w:t>, an AI-ready, multi-source digital tomosynthesis system that makes advanced 3D imaging possible in more places at significantly lower radiation dose than CT, received FDA 510(k) clearance in April 2025 for general use, including musculoskeletal, pulmonary, intra-abdominal and paranasal indications. On February 3, 2026, we received a 510(k) clearance from the FDA for TAP2D, a new cloud enabled image enhancement capability for the Nanox.ARC and Nanox.ARC X.</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to acquiring the base technology for our X-ray source and related know-how, our AI solutions and our teleradiology services, conducting research and development activities, organizing and staffing our company, developing our business plan, securing related intellectual property rights and raising capital. Historically, we have funded our operations primarily with proceeds from the sale of our ordinary shares and warrants (after September 3, 2019) and those of our predecessor company (prior to September 3, 2019). During the years ended December 31, 2025, 2024 and 2023, we received net cash proceeds of $21.3 million, $39.5 million and $28.0 million, respectively, from the sales of our ordinary shares, warrants and options. The Company generated revenue through teleradiology services, the sales of its Imaging devices and services and the sale of its AI solutions.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ability to achieve profitability depends on the successful development and commercialization of our technology and our products. We incurred net losses of $75.0 million, $53.5 million and $60.8 million for the years ended December 31, 2025, 2024 and 2023, respectively. As of December 31, 2025 and 2024, we had an accumulated deficit of $448.8 million and $373.7 million, respectively. We expect to continue to incur significant expenses for at least the next several years as we advance the Nanox System through further development, regulatory approval and commercial deployment. We expect to incur significant capital expenditures and commercialization expenses related to product manufacturing, marketing, sales, regulation, distribution and support. In addition, we continue to incur additional costs associated with operating as a public company, including significant legal, accounting, investor relations and other expenses.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we jumpstarted the MSaaS-based medical imaging market by deploying an initial wave of Nanox.ARC (including the Nanox.CLOUD) units. We expect to incur significant expenses for the deployment, manufacturing, installation, repairs, and maintenance of the Nanox Systems. As a result, we may need substantial funding to support our continuing operations and pursue our business strategy before we can generate significant revenues. Until such time as we can generate significant revenues from sales of services, we expect to finance our operations through the sale of equity, debt financings or other capital sources, including collaborations, strategic partnerships or marketing, distribution or licensing arrangements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systems and products or delay our pursuit of potential in-licenses or acquisitions.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cash equivalents, short-term and long-term deposits, restricted deposits and marketable securities of $60.0 million. We have based this estimate on assumptions that may prove to be wrong, and we could exhaust our capital resources sooner than we expect. See “Item 5. Operating and Financial Review and Prospects—B. Liquidity and Capital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2025, we issued (i) 87,012ordinary shares upon the exercise of options and RSUs and (ii) an additional 5,624,989 of the Company’s ordinary shares at an average purchase price of $3.93 per share. The net proceeds of the issuance were approximately $21.4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generated revenue through teleradiology services, the sales of its imaging devices and services and the sale of its AI solutions. The majority of our revenues are derived from our teleradiology services, which consist primarily of fees received from various payors based on established billing rates, and also of fees from hospitals and healthcare providers. We recognize revenue in the period in which performance obligations are satisfied by providing services to our customers and record the amount of revenue that reflects the consideration that we expect to receive in exchange for those services. During 2024 and 2025, we began to generate revenue from sales of the Nanox.ARC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the sale of teleradiology services mainly consists of the cost of radiologists, the cost of picture archiving and communication software (a medical imaging technology used to securely store and digitally transmit electronic images and clinical reports) and amortization of intangible assets. The cost of the sale of AI solutions mainly consists of the cost of labor and amortization of intangible assets. The cost of revenue through the sale of scan services and sale of Nanox.CONNECT consisted mainly of cost of labor and cost of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products. These expenses include:</w:t>
      </w:r>
    </w:p>
    <w:p>
      <w:pPr>
        <w:spacing w:after="0" w:line="162" w:lineRule="exact"/>
        <w:rPr>
          <w:sz w:val="20"/>
          <w:szCs w:val="20"/>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share-based compensation expenses for employees engaged in research and development activities;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development of our systems and solutions, including payments made pursuant to agreements with third parties, such as external manufacturers, vendors and consultants related to process development and manufacturing activities, as well as patent registrations;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components and materials that are used to develop our systems, including payments made pursuant to agreements with third parties;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laboratories, depreciation and other expenses, including direct or allocated expenses for rent and maintenance of facilities, as well as insurance costs;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testing and validations with clinical and regulatory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suppliers and service providers. Upfront payments, and annual maintenance fees under license agreements are expensed in the period in which they are incurred.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We expect that our research and development expenses will increase substantially over the next several years as we continue the development and improvement of the Nanox Systems. We expect to continue to devote a substantial portion of our resources to the Nanox.ARC multi-source system, the Nanox.CLOUD, the Nanox.MARKETPLACE, our AI solutions and our future systems and solutions for the foreseeable future.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successful development and commercialization of our systems are highly uncertain. At this time, we cannot reasonably estimate or know the nature, timing and costs of the efforts that will be necessary to complete the development for commercialization of any of our products. This uncertainty is due to the numerous risks and uncertainties associated with product development and commercialization, including the uncertainty of:</w:t>
      </w:r>
    </w:p>
    <w:p>
      <w:pPr>
        <w:spacing w:after="0" w:line="17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activities to improve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 especially if there will be a need for independent clinical trials or validation;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including the Nanox.ARC, the Nanox.ARC X, the Nanox.CLOUD and our AI solutions, whether alone or in collaboration with others;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or improvement of our products could result in a significant change in the costs and timing associated with the deployment of these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Selling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Marketing and selling expenses consist of cost of labor, public relations, participation in conferences and other general marketing and selling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our selling and marketing expenses will increase as we progress with the commercial deployment of our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and share-based compensation expense for personnel in general and administrative functions. General and administrative expenses also include facilities, depreciation and other expenses, which include among others, direct or allocated expenses for rent and maintenance of facilities and insurance, as well as professional fees for legal, patent, consulting, investor and public relations, accounting and audit services.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we increase our headcount to support our continued research and development activities and commercialization of our products. We also incur accounting, audit, legal, regulatory, compliance, directors’ and officers’ liability insurance and investor and public relations costs associated with being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results of operations for the years ended December 31, 2025 and 2024,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revenue incurred during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gridSpan w:val="2"/>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Scan services and sale of Nanox.ARC and Nanox.CONNECT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we reported revenue of $13.0 million, compared to $11.3 million for the year ended December 31, 2024. During the year ended December 31, 2025, we generated revenue through the sale of teleradiology services in the amount of $11.6 million, the sale of scan services and sale of Nanox.CONNECT in the amount of $0.5 million, and the sale of AI solutions in the amount of $1.0 million. The increase in the revenue through the sale of teleradiology services in the amount of $1.3 million was mainly attributable to customer retention, increased rates and increased volume of the Company’s reading services during the weekdays shifts. The increase in the revenue through the AI services in the amount of $0.2 million was mainly due to the acquisition of Nanox Health IT, which added revenue of $0.4 million since the completion of its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summarizes our cost of revenue incurred during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gridSpan w:val="2"/>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Nanox. ARC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8,104</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4,926</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and software solutions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8,685</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25,809</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reported cost of revenue of $25.8 million, compared to $21.9 million for the year ended December 31, 2024.</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incurred cost of revenue through the sale of teleradiology services in the amount of $9 million, the sale of scan services and sale of Nanox.CONNECT in the amount of $8.1 million and the sale of AI solutions in the amount of $8.7 million. During the year ended December 31, 2024, we incurred cost of revenue through the sale of teleradiology services in the amount of $8.7 million, the sale of scan services and sale of Nanox.CONNECT in the amount of $4.9 million and the sale of AI solutions in the amount of $8.3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2025, the cost of revenue through the sale of teleradiology services consisted mainly of the cost of radiologists and the cost of picture archiving and communication software in the amount of $6.9 million and amortization of intangible assets of $2.1 million. In 2024, the cost of revenue through the sale of teleradiology services consisted mainly of the cost of radiologists and the cost of picture archiving and communication software in the amount of $6.4 million and amortization of intangible assets of $2.2 million. The amortization of the intangible assets is the periodic amortization expense with regards to the acquisition of the shares of Nanox AI, USARAD Holdings Inc. and the purchase of the assets of MDW LLC since the date of acquisition through the year end.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the cost of revenue through the sale of scan services and sale of Nanox.CONNECT consisted mainly of cost of labor in the amount of $1.9 million and cost of materials in the amount of $4.4 million. In 2024, the cost of revenue through the sale of scan services and sale of Nanox.CONNECT consisted mainly of cost of labor in the amount of $1.3 million and cost of materials in the amount of $2.7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the cost of revenue through the sale of AI solutions consisted mainly of salaries and wages expense in the amount of $0.3 million, amortization of intangible assets of $8.0 million, and software subscription and support of $0.3 million. In 2024, the cost of revenue through the sale of AI solutions consisted mainly of salaries and wages expense in the amount of $0.2 million, and amortization of intangible assets of $8.0 million. The amortization of the intangible assets is the periodic amortization expense with regards to the acquisition shares of Nanox AI.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incurred during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4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3,533</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$1.0 million to $19.2 million for the year ended December 31, 2025, from $20.2 million for the year ended December 31, 2024. The decrease in research and development expenses was primarily attributable to decrease in share-based compensation of $1.3 million and decrease in the R&amp;D expenses of $1.5 million which was mitigated by an increase in salaries and wages of $1.2 million and an increase of $0.6 million in other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per segment of operation incurred during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ARC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14,552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 and software solutions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4,550</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Radiology services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19,236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20,182</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through our Nanox ARC segment of operation decreased by the amount of $1.6 million to $14.6 million for the year ended December 31, 2025, from $16.2 million for the year ended December 31, 2024. The decrease was primarily attributable to the decrease in share-based compensation of $0.9 million, a decrease in the R&amp;D expenses of $1.5 million and other expenses of $0.4 million, which was mitigated by an increase of $1.1 million in salaries and wages.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through our AI and software solutions segment of operation increased by the amount of $ 0.7 million to $4.6 million for the year ended December 31, 2025, from $3.9 million for the year ended December 31, 2024. The increase was primarily attributable to the increase in salaries and wages of $0.1 million, and a decrease in grants received of $1.0 million, which was mitigated by a decrease of $0.4 million in share-based compensation.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summarizes our sales and marketing expenses incurred during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tc>
        <w:tc>
          <w:tcPr>
            <w:tcW w:w="24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5,665</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$2.3 million to $5.7 million for the year ended December 31, 2025, from $3.4 million for the year ended December 31, 2024. The increase in sales and marketing expenses was primarily attributable to the increase in salaries in wages in the amount of $1.6 million and sales and marketing activities in the amount of $1 million which was mitigated by a decrease of $0.4 million in share-based compensation.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sales and marketing expenses per segment of operation incurred during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ARC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 and software solutions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through our Nanox ARC segment of operation increased by the amount of $2.1 million to $4.9 million for the year ended December 31, 2025, from $2.8 million for the year ended December 31, 2024. The increase was primarily attributable to the increase in salaries and wages of $1.5 million and marketing expenses of $0.9 million which was mitigated by a decrease in share-based compensation of $0.3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through our AI Solution segment of operation increased by the amount of $0.1 million to $0.3 million for the year ended December 31, 2025, from $0.2 million for the year ended December 31, 2024. The increase is attributable to the increase in salaries and wages, share-based compensation and subcontractors expenses in the amount of $0.2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through our Teleradiology services segment of operation increased by the amount of $0.1 million to $0.5 million for the year ended December 31, 2025, from $0.4 million for the year ended December 31, 2024. The increase is attributable to the increase in salaries and wages and marketing expenses in the amount of $0.1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administrative expenses incurred during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4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in connection with the SEC investigation and class actions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Maintenance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4,800</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21,587</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$0.9 million to $21.6 million for the year ended December 31, 2025, from $22.5 million for the year ended December 31, 2024. The decrease in general and administrative expenses was primarily attributable to decrease in share-based compensation in the amount of $1.3 million, a decrease of $0.6 million in our directors’ and officers’ liability insurance premium, and a decrease of $1 million in legal fees, which was mitigated by an increase in salaries in the amount of $0.9 million, an increase in other general and administrative expenses of $0.9 million.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administration expenses per segment of operation incurred during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ARC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16,967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 and software solutions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21,587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22,455</w:t>
            </w:r>
          </w:p>
        </w:tc>
      </w:tr>
    </w:tbl>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administration expenses through our Nanox ARC segment of operation decreased by the amount of $0.8 million to $17 million for the year ended December 31, 2025, from $17.8 million for the year ended December 31, 2024. The decrease was primarily attributable to decrease in share-based compensation in the amount of $0.9 million, a decrease of approximately $1.2 million in legal fees and a decrease of $0.6 million in our directors’ and officers’ liability insurance premium. Nevertheless, salaries and wages increased by $0.3 million, professional fees increased by $0.6 million, software and IT expenses increased by $0.2 million and HR and recruiting expenses increased by $0.3 million in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8" w:name="page119"/>
    <w:bookmarkEnd w:id="11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expenses through our AI Solution segment of operation decreased by the amount of $0.1 million to $0.4 million for the year ended December 31, 2025, from $0.5 million for the year ended December 31, 2024. The decrease is attributable to the decrease in rent and maintenance in the amount of $0.2 due to the Company’s moving to the new office during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expenses through our Teleradiology services segment of operation increased by the amount of $ 0.1 million to $4.2 million for the year ended December 31, 2025, from $4.1 million for the year ended December 31, 2024. The increase is attributable to the increase in salaries and wages in the amount of $0.5 million, which was mitigated by a decrease in share-based compensation by $0.4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expenses were $1.4 million for the year ended December 31, 2025, and other income was $0.0 million for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$1.4 million was mainly due to the settlement with a shareholder.</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loss was $75 million for the year ended December 31, 2025, and $53.5 million for the year ended December 31, 2024. The increase of $21.5 million was largely due to an impairment of long-lived assets in the amount of $17.5 million which was recorded during the reported period in relation to the Company’s restructuring of operations at Nanox’ Korean facility that is intended to better align the Company’s manufacturing cost structure and support gross margin improvement to the Company’s target financial model. The increase was also due to an increase of $2.1 million in the gross loss, increase of $2.2 million in the sales and marketing expenses and increase of $1.4 million in other expenses mitigated by an increase of $1.6 million in income tax benefit.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Recently we adopted a restructuring plan intended to better align our manufacturing cost structure with our long-term financial model, support our path toward improved gross margins, and align our manufacturing capabilities with current and anticipated business needs and the Company’s strategic priorities.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plan and our broader cost reduction efforts, we are restructuring our manufacturing footprint to improve gross margins, reduce capital expenditures, and enhance operational efficiency. This includes transitioning away from certain manufacturing activities at our facility in South Korea, starting in the fourth quarter of 2025, and moving from a company-owned manufacturing model to a more fully outsourced approach.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this transition, we expect to utilize our existing emitter inventory as it shifts to a more efficient outsourced production model that is better aligned with current and anticipated demand.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restructuring, we will close our chip manufacturing line in South Korea, downsize its fabrication facilities, and transfer certain production activities to third-party international manufacturing partners, including the Swiss Center for Electronics and Microtechnology (CSEM). Following these changes, we intend to focus our operations in South Korea on research and development (R&amp;D) and tube production activities that support the Nanox.ARC platform. The restructuring is expected to be substantially completed during fiscal year 2026.</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restructuring, we expect to incur total restructuring and related charges of approximately $18.0 million, consisting primarily of costs related to the impairment of machinery and equipment associated with our chip manufacturing line.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we recorded a non-cash impairment charge of approximately $17.5 million during the reported period, related to the write-down of long-lived assets associated with the Korean fabrication facility’s chip manufacturing line and the remainder restructuring charges of approximately $0.5 million is expected to be in cash.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2024, including a year-to-year comparison between 2024 and 2023, and a discussion of our liquidity and capital resources for the year ended December 31, 2024, refer to Item 5.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Prospects” </w:t>
      </w:r>
      <w:r>
        <w:rPr>
          <w:rFonts w:ascii="Times New Roman" w:cs="Times New Roman" w:eastAsia="Times New Roman" w:hAnsi="Times New Roman"/>
          <w:sz w:val="18"/>
          <w:szCs w:val="18"/>
          <w:color w:val="auto"/>
        </w:rPr>
        <w:t>in our Annual Report on Form 20-F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included elsewhere in this annual report on Form 20-F.</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our inception and prior to November 2021, we did not generate any revenue from product sales or otherwise and have incurred significant operating losses and negative cash flows from our operations. Beginning in the year ended December 31, 2021 and continuing in the year ended December 31, 2022, we generated revenue through the sale of teleradiology services and the sale of AI solutions following the completion of the merger with Nanox AI, and the acquisitions of USARAD in November 2021. Beginning in the year ended December 31, 2023 we generated revenue through the sale of Nanox.CONNECT and scan services. During the year ended December 31, 2023, we did not generate any revenue from sales of imaging services from the Nanox System. As of December 31, 2024, we have generated revenue from sales of imaging services from the Nanox System and other services. As of December 31, 2025, we have generated revenue from sales of imaging services from the Nanox System, AI and software products, teleradiology and other services. Historically, we have funded our operations primarily with proceeds from the sale of our and our predecessor company’s ordinary shares.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incorporation through December 31, 2025, we accumulated deficit of $448,767 and our activities have been funded mainly by the sale of our ordinary shares and positive cash flow from the Teleradiology business segment. We expect to continue to incur significant costs related to our commercializing efforts and our ongoing operations. We estimated that the Company’s cash and cash equivalents, and deposits as of December 31, 2025, will not be sufficient to support our operations under the current operating plans for at least one year from the issuance date of this annual report. The Company is exploring the use of mitigating actions such postponing expenses that are not based on firm commitments. We are exploring opportunities to fundraise by means of private equity or otherwise, and management is looking for the most favorable deal, taking into consideration the Company’s needs and market conditions. However, there is no assurance that we will be able to obtain such funding or secure it with favorable terms. Our consolidated financial statements do not include any adjustments that may be necessary should the Company be unable to continue as a going concern.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periods presented: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(used in) investing activities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29,373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21,368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39,504</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27,252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on changes in exchange rates on cash balances in foreign currencies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2024 and 2023, net cash used in operating activities was $40.8 million, $36.6 million and $44.8 million, respectively, resulting from our net loss of $75.0 million, $53.5 million and $60.8 million, respectively, adjusted for stock-based compensation changes of $4.2 million, $7.3 million and $6.8 million, respectively, amortization of intangible assets of $10.5 million, $10.6 million and $10.6 million, respectively, goodwill impairment of $0.0 million, $0.0 million and $7.4 million, respectively, impairment of long-lived asset of $17.5 million, $0.0 million and $0.0 million, respectively, change in contingent earnout liability of $0 million, 0 million and ($4.5) million, respectively, non-cash charges of $(0.8) million, $0.2 million and $3.1 million, respectively, and changes in components of working capital of $2.8 million, ($1.1) million and ($7.4)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net cash provided by (used in) investment activities was $29.4 million, $(20.1) million and $35.4 million, respectively. The increase in cash provided by investing activities during the year ended December 31, 2025, was primarily due to proceeds from the sale and maturities of marketable securities in the amount of $18.3 million, release of short-term deposits in the amount of $15.5 million, that was offset in part by purchase of property and equipment in the amount of $4.2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net cash provided by financing activities was $21.4 million, $39.5 million and $27.3 million, respectively, primarily due to proceeds from the issuance of ordinary shares and warrants, net of issuance costs, and from the issuance of ordinary shares upon exercise of options and warrants.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23, 2025, we entered into a securities purchase agreement with a single institutional investor for the purchase and sale of 3,826,530 of the Company’s ordinary shares at a purchase price of $3.92 per share, in a registered direct offering. The gross proceeds from the offering were approximately $15 million, before deducting placement agent fees and other offering expenses payable by the Company.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7, 2024, we entered into the Sales Agreement with the Agents relating to the issuance and sale from time to time of our ordinary shares. In accordance with the terms of the Sales Agreement, we may offer and sell our ordinary shares having an aggregate offering price of up to $100 million from time to time through the Agents pursuant to the sales agreement. The Agents will be entitled to compensation at a commission rate of up to 2.5% of the aggregate gross proceeds from each sale of ordinary shares. As of December 31, 2025, we have raised $44.9 million net under the Sales Agreement.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26, 2023, the Company raised $30 million in a registered direct offering by selling 2,142,858 of the Company’s ordinary shares, together with warrants to purchase up to 2,142,858 ordinary shares at a combined purchase price of $14.00 per share. The net proceeds of the offering were approximately $27.1 million, excluding any proceeds that may be received upon the exercise of the warrants, after deducting placement agent fees and other offering expenses payable by the Company. The warrants have an exercise price of $19.00 per share, are exercisable immediately upon issuance and will expire five years from issuance. The Company accounted for the issued warrants as an equity in accordance with ASC 480-10, Accounting for Certain Financial Instruments with Characteristics of both Liabilities and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long-term contractual obligations mainly consist of our lease agreements for our offices and other facilities in Israel and the United States. For details regarding these lease agreements, see “Item 4. Information on the Company—D. Property, Plants and Equipment.”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have lease agreements for the lease of vehicles for certain of our employees in Israel, which are effective through March 2028.</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non-current operating leases liabilities of $3.8 million. For additional details regarding our operating lease agreements, see Note 7 to our audited consolidated financial statements, which are included elsewhere in this annual report on Form 20-F.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commercialization of the Nanox systems following the clearances from the FDA to market the Nanox.ARC (including the Nanox.CLOUD) and the Nanox.ARC X as a stationary X-ray systems, our AI products and the resale of third parties’ software in the U.S. market. and our research and development and improvement of the Nanox Systems. In addition, we incur additional costs associated with operating as a public company. Our expenses will also increase if, and as, we:</w:t>
      </w:r>
    </w:p>
    <w:p>
      <w:pPr>
        <w:spacing w:after="0" w:line="18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additional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manufacturing, sales, marketing, commercialization, medical affairs and distribution infrastructure to commercialize the Nanox Systems for which we may obtain marketing approval and intend to commercialize on our own or jointly;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quality control and scientific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manufacturing facility in South Korea for the purpose of manufacturing MEMs X-ray chips;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manufacture, research, development, and commercialization of products, we are unable to estimate the exact amount of our working capital requirements. Our future funding requirements will depend on, and could increase significantly as a result of, many factors, including:</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the Nanox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Nanox.ARC and the Nanox.ARC X (including the Nanox.CLOUD);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the Nanox Systems for which we receive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manufacturing, shipping, installation and deployment of the Nanox Systems and sufficient inventory to support commercial launch;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commercial sale of the Nanox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with respect to and the outcome of the securities and other litigations we are currently subject to and any similar or other claims, litigation and inquiries we may be subject to in the future;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the Nanox Systems.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change in any of these or other variables with respect to the development of any of our products could significantly change the costs and timing associated with the development of that product. Further, our operating plans may change in the future, and we may need additional funds to meet operational needs and capital requirements associated with such operating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we will need to obtain additional financing to implement our business plan such as the financing we consummated with institutional investors in November 2025 and the utilization of our Sales Agreement. Any inability to raise adequate funds on commercially reasonable terms could have a material adverse effect on our business, financial condition, results of operation and prospects.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To date, we have principally financed our operations through the sale of our ordinary shares. Nevertheless, management anticipates that our current cash and cash equivalents position and generating revenue will provide us limited financial resources for the near future to continue implementing our business strategy of further developing our products. Management plans to secure additional financing sources, including but not limited to the sale of our ordinary shares in future financings. There can be no assurance, however, that we will be successful in raising additional capital or that we will have net income from operations to fund our business plan for the near future or long term. On a preliminary unaudited basis, the Company estimates that its cash and cash equivalents net of a short-term bank loan to be approximately $35.0 million as of the date of issuance of this Annual Report. These conditions raise substantial doubt about the Company’s ability to continue as a going concern as of December 31, 2025. 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Therefore, we anticipate that our business will require substantial additional investments that have not yet been secured. We are continuing in the process of fund raising in the private equity and capital markets as the Company will need to finance future activities. To the extent that we raise additional capital through the sale of equity or convertible debt securities, your ownership interest may be materially diluted, and the terms of such securities could include liquidation or other preferences that adversely affect your rights as an ordinary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products or grant licenses on terms that may not be favorable to 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operations as incurred and consist primarily of personnel, materials and supplies for research and development activities. See “Item 5. Operating and Financial Review and Prospects—A. Operating Results—Critical Accounting Policies and Significant Judgments and Estimates—Research and Development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we and our subsidiaries had 31 issued patents and 7 pending patent applications in the United States. We also had 5 issued patents and 1 pending patent application in Israel, 3 issued patent and 4 pending patent applications in the European Patent Office, 1 granted Germany Utility Model, 3 issued patents in China, 3 issued patents in Korea and 2 issued patents in Hong Kong. Our issued patents generally expire between the years 2032 and 2041, and some are directed to various features and combinations of features of the Nanox.ARC, the Nanox.ARC X and the others for AI and teleradiology. We also have 4 trademarks registered in the United States, 9 trademarks registered in Israel, 1 trademark registered in China, 1 trademark registered in India, 2 trademark registered in Japan, 3 trademarks registered in the European Union, 3 trademarks registered in Great Britain and 3 International trademarks.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intend to continue filing for patents on new technologies as they are developed and to actively pursue any infringement upon our patents. We believe that our know-how and trade secrets represent de facto barriers to potential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initial launch-stage company and cannot predict with any degree of accuracy the outcome of our research and development efforts. As such, we cannot predict with any degree of accuracy any significant trends, uncertainties or events that are reasonably likely to have a material effect on our net loss, liquidity or capital resources, or cause financial information to not be indicative of future operating results or financial condition. However, to the extent possible, certain trends, uncertainties, demands, commitments and events are described in this “Item 5. Operating and Financial Review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provided a summary of our significant accounting policies, estimates and judgments in Note 2 to our consolidated financial statements. The following critical accounting estimates discussion pertain to accounting policies management believes are most critical to the portrayal of our historical financial condition and results of operations and that require significant, difficult, subjective or complex judgments.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reviews its accounting estimates and assumptions to determine whether any should be disclosed as critical accounting estimates or whether sensitivities should be updated for those critical accounting estimates already disclosed. The preparation of financial statements in accordance with GAAP requires management to make certain estimates and assumptions based on our historical experience and on various other assumptions which we believe to be reasonable under the circumstances. Because of the uncertainty inherent in these matters, actual results could differ materially from the estimates we use in applying these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Goodwill reflects the excess of the consideration transferred plus the fair value of any non-controlling interest in the acquiree at the business combination date over the fair values of the identifiable net assets acquired. Goodwill is an asset representing the future economic benefits arising from other assets acquired in a business combination that are not individually identified and separately recognized. We allocate goodwill to our reporting units based on the reporting unit expected to benefit from the business combination. The primary items that generate goodwill include the value of the synergies between the acquired companies and the Company and the acquired assembled workforce, neither of which qualifies for recognition as an intangible asset. ASC 350 allows an entity to first assess qualitative factors to determine whether a quantitative goodwill impairment test is necessary. Further testing is only required if the entity determines, based on the qualitative assessment, that it is more likely than not that a reporting unit’s fair value is less than its carrying amount. Otherwise, no further impairment testing is required. Examples of events or circumstances that may be indicative of impairment include but are not limited to: macroeconomic and industry conditions, overall financial performance and adverse changes in legal, regulatory, market share and other relevant entity specific events. An entity has the option to bypass the qualitative assessment for any reporting unit in any period and proceed directly to the quantitative goodwill impairment test. This would not preclude the entity from performing the qualitative assessment in any subsequent period. The quantitative assessment compares the fair value of the reporting unit to its carrying value, including goodwill.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determine the fair value of our reporting units using a discounted cash flow model, which utilizes key assumptions such as projected revenues, cost of revenues and operating expenses. These assumptions were determined by management utilizing our internal operating plan, growth rates for revenues and operating expenses and margin assumptions. An additional key assumption under this approach is the discount rate, based on the weighted average cost of capital, which is adjusted for current risk-free rates of capital, current market interest rates, and the evaluation of a risk premium relevant to the business segment.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assumptions relative to revenue growth rates, cost of revenues and operating expenses were to change, our fair value calculation may change, which could result in impairment. If our assumptions relative to the discount rate and the evaluation of risk premium growth rates were to change, our fair value calculation may change, which could result in impairment. Management uses the income approach to determine the fair value of the reporting units because it considers the anticipated future financial performance of the reporting units. Accordingly, changes in the assumptions described above could have a material impact on our consolidated results of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goodwill is tested for impairment at least on an annual basis, on the last day of the fourth quarter of the fiscal year and whenever events or changes in circumstances indicate the carrying value of a reporting unit may not be recoverable. When necessary, we record charges for impairments of goodwill for the amount by which the carrying amount of the respective reporting unit exceeds its fair value. However, the loss recognized should not exceed the total amount of goodwill allocated to that reporting unit.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goodwill is assigned to the reporting units of the AI Solutions segment (which was recorded in the acquisition of Nanox AI) and the Radiology Services segment (which was recorded in the acquisition of USARAD). The carrying value of each reporting unit is determined by assigning the assets and liabilities, including the existing goodwill, to those reporting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 for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solutions reporting unit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2023, in light of triggering events arising from the increase of the discount rate and changes in our estimates as a result of business specific considerations, we performed a quantitative interim assessment for goodwill impairment for our AI solutions reporting unit. The amount of goodwill assigned to the AI solutions reporting unit on the interim testing date was $0.4 million. When evaluating the fair value of the AI solutions reporting unit under the income approach, we used a discounted cash flow model which utilized Level 3 measures that represent unobservable inputs. Key assumptions used to determine the estimated fair value include: (a) internal cash flows forecasts for 7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22.7% which reflects the weighted-average cost of capital adjusted for the relevant risk associated with the AI solutions reporting unit’s operations and the uncertainty inherent in our internally developed forecasts. Specifically, as part of our interim impairment test, in making the assumptions mentioned in clauses (a) and (b) above, we considered (1) the efforts and time required for the AI solutions reporting unit to achieve financial stability, (2) its estimate that it would take approximately one year for such unit to generate any material revenue and two years to achieve profitability; and (3) its estimate that it would take longer than we originally expected for such unit to generate material revenues, gross profit, and positive operating cash flows, especially from its population health applications.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impairment assessment, we concluded that the fair value of the AI solutions reporting unit decreased below its carrying value and therefore we recorded a goodwill impairment charge of $365 thousand. As a result, the goodwill assigned to the AI solutions reporting unit was fully impaired.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Radiology services reporting unit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2023, in light of triggering events arising from the increase of the discount rate and changes in our estimates as a result of business specific considerations, we performed a quantitative interim assessment for goodwill impairment for our radiology services reporting unit. The amount of goodwill assigned to the AI solutions reporting unit on the interim testing date, which had not changed from the amount assigned to such unit on the acquisition date, was $7.1 million. When evaluating the fair value of the Radiology services reporting unit under the income approach, we used a discounted cash flow model which utilized Level 3 measures that represent unobservable inputs. Key assumptions used to determine the estimated fair value include: (a) internal cash flows forecasts for 8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27.9% which reflects the weighted-average cost of capital adjusted for the relevant risk associated with the Radiology services reporting unit’s operations and the uncertainty inherent in our internally developed forecasts. Specifically, as part of our interim impairment test, in making the assumptions mentioned in clauses (a) and (b) above, we considered (1) the efforts and time required for the Radiology services reporting unit to achieve financial stability, (2) its estimate that it would take approximately one year for such unit to generate any material revenue and two years to achieve profitability; and (3) its estimate that it would take longer than we originally expected for such unit to generate material revenues, gross profit, and positive operating cash flows, especially from its population health applications.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impairment assessment, we concluded that the fair value of the Radiology services reporting unit decreased below its carrying value and therefore we recorded a goodwill impairment charge of $7,055 thousand. As a result, the goodwill assigned to the Radiology services reporting unit was fully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long-lived assets, such as property, plant and equipment, operating lease right-of-use asset and identifiable intangible assets, are reviewed for potential impairment whenever events or changes in circumstances indicate that the carrying amount of an asset may not be recoverable. Impairment indicators which could trigger an impairment may include, among others, any significant changes in the manner of our use of the assets or the strategy of our overall business, certain reorganization initiatives, significant negative industry or economic trends or when we conclude that it is more likely than not that an asset will be disposed of or sold.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recoverability of assets to be held and used is measured by a comparison of the carrying amount of an asset with the future undiscounted cash flows expected to be generated by such assets. If such assets are considered to be impaired, the impairment to be recognized is measured by the amount by which the carrying amount of the assets exceeds the fair value of the assets.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measurement includes significant estimates and assumptions inherent in the estimate of the fair value of identifiable intangible assets and property and equipment such as assumptions associated with forecasting profitability, including operational margins and capital expenditures. Accordingly, changes in the assumptions described above could have a material impact on our consolidated results of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further described under Note 6 in the financial statements, in the fourth quarter of 2025, we recorded a non-cash impairment charge of $17,528 in respect of the chip production line in Korea. This charge was recorded under “Impairment of long-lived assets” line item in the consolidated statements of operations and comprehensive income (loss). During 2024 and 2023, we did not record any impairment charge related to our definite life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Contingencies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involved in claims and other legal proceedings that arise from time to time in the ordinary course of business. We record accruals for these types of contingencies to the extent that we conclude their occurrence is probable and that the related liabilities are estimable. When accruing these costs, we recognize an accrual in the amount within a range of loss that is the best estimate within the range. When no amount within the range is a better estimate than any other amount, we accrue the minimum amount within the range. We record anticipated recoveries under existing insurance contracts that are virtually certain of occurring at the gross amount that is expected to be collected. Management applies the guidance in ASC 450-20-25 when assessing losses resulting from contingencies. If the assessment of a contingency indicates that it is probable that a material loss would be incurred and the amount of the liability can be estimated, then the Company records an accrued expense in the Company’s consolidated financial statements based on its best estimate. Loss contingencies considered by management to be remote are generally not disclosed unless material.</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 the adequacy of the accruals on a periodic basis and may determine to alter our reserves at any time in the future if we believe it would be appropriate to do so. As such accruals are based on management’s judgment as to the probability of losses and, where applicable, actuarially determined estimates, accruals may materially differ from actual verdicts, settlements or other agreements made with regards to such contingencies. Litigation outcomes and contingencies are unpredictable and excessive verdicts can occur. Accordingly, management’s assessments involve complex judgments concerning future events and often rely heavily on estimates and assumptions.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a term sheet on April 28, 2023, to settle all shareholder class action litigation related to the McLaughlin Action and the consolidated White Action. On June 2, 2023, the Company entered into a formal settlement agreement to settle the McLaughlin Action and the consolidated White Action for $8 million. On October 31, 2023, Magistrate Judge Kuo preliminarily approved the settlement. Due to the settlement agreement, during December 2023 the Company deposited $5 million and the D&amp;O insurance carrier deposited $3 million in a trust account in connection with the settlement agreement. On February 15, 2024, the court held a final approval hearing, during which she requested that the parties submit updated settlement claims information by letter on or before February 29, 2024 for incorporation into a final report and recommendation. The parties submitted the letter on February 29, 2024, and on April 17, 2024, Magistrate Judge Kuo issued a report and recommendation recommending that Judge Kovner grant the motion for final approval of the settlement. On May 7, 2024, Judge Kovner entered an order adopting Magistrate Judge Kuo’s report and recommendation and finally approving the settlement. On May 10, 2024, the judgment was entered, and the case was dismissed with prejudice.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2023, the Company received a notice alleging several causes of action, including breach of a consulting agreement between the plaintiff and Gibraltar Entity that was entered into in 2015. The plaintiff’s demand from the Company is for the payment of approximately $1.26 million for unpaid consulting fees from the Gibraltar Entity and approximately $25 million connection with his claimed entitlement to securities in the Gibraltar Entity.</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or about December 21, 2023, a claim was filed in Israel against the Company, the Gibraltar Entity, and the late Mr. Ran Poliakine, based on allegations previously dismissed in the First Gibraltar Judgment. The Company submitted its statement of defense on September 15, 2024 and so did the estate of the late Mr. Ran Poliakine (the “Estate”). In its statement of defense, the Company reiterated its strong denial of the plaintiff’s baseless claims and emphasizes that the Company was never a party to the consulting agreement with the plaintiff. In addition, the Company is not responsible for any potential liabilities of Gibraltar Entity, which is a separate legal entity. Furthermore, the plaintiff has no right to a bonus or consulting fees from the Gibraltar entity. Lastly, the Company stated there is no basis for piercing the corporate veil between the Gibraltar entity and the Company so as to attribute the acts or omissions or knowledge of the Gibraltar entity to the Company. The Company stated that it acted in good faith and that all its actions were conducted in a legal and proper manner. On April 5, 2024, the Gibraltar entity filed an amended claim and a request for an anti-suit injunction (“ASI”) in Gibraltar against the plaintiff. On November 18, 2024, the Gibraltar court granted the Gibraltar entity’s request and issued an ASI, preventing the plaintiff from continuing to pursue the present claim against the Gibraltar entity in Israel. As a result, the dispute between the plaintiff and the Gibraltar entity will be adjudicated before the Gibraltar court, in accordance with Gibraltar law. In January 2025, the plaintiff filed a new claim against the Company with the Gibraltar court, which was dismissed due to procedural defects. The plaintiff filed an additional claim against the Company, which was served on the Company on December 25, 2025. The Company decided not to contest the jurisdiction of the Gibraltar court and consent to the Gibraltar Jurisdiction, and will therefore submit a statement of defense in Gibraltar court. In light of the above, on February 1, 2026, the plaintiff filed with the court in Israel a motion seeking to dismiss the claim submitted against the Company in Israel and thereby close the proceedings in Israel. The Company has submitted its response to the motion, together with a request for an award of costs, on April 26, 2026, in which it argued that there was no basis to file the claim against it in the first place, as its adjudication is contingent upon a prior determination of the date of termination of the engagement between the Plaintiff and Gibraltar Entity, before the court in Gibraltar, and only thereafter, to the extent it is determined that a breach occurred (which is denied), could the claims against the Company, which are wholly denied, be addressed.</w:t>
      </w:r>
    </w:p>
    <w:p>
      <w:pPr>
        <w:spacing w:after="0" w:line="1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2025, we received a letter from a shareholder detailing certain purported concerns and allegations relating to representations made during negotiations regarding a certain asset transaction. On April 19, 2026, we entered into a settlement agreement with said shareholder, pursuant to which the alleging shareholder, on its own behalf and on behalf of its shareholders, fully released us from any and all claims, including those mentioned in the shareholder’s letter, claims relating to the asset transaction, and claims relating to the relationship with the shareholder and its affiliates and shareholders. In return for the release, and without admission of any liability, the Company agreed to issue to the shareholder 450,000 ordinary shares.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accrued an amount of $1,260 thousand in connection with the above referenced complaint. The accrual was recorded against other expenses, net in the consolidated statements operations and comprehensive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Valuation allowances are provided unless it is more likely than not that the deferred tax asset will be realized. In the determination of the appropriate valuation allowances, we consider future reversals of existing taxable temporary differences and the most recent projections of future business results that may enhance the likelihood of realization of a deferred tax asset. Assessments for the realization of deferred tax assets made at a given balance sheet date are subject to change in the future, particularly if our earnings or earnings of the subsidiaries are significantly higher or lower than expected, or if we take operational or tax positions that could impact the future taxable of our earnings or the subsidiaries earnings. Accordingly, changes in the assumptions described above could have a material impact on our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and directors, including their ages, as of April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Borders>
              <w:top w:val="single" w:sz="8" w:color="auto"/>
            </w:tcBorders>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Meltzer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Acting Chairman of the Board</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Daniel*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Dara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Manager Source &amp; Services Division</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Ofir Koren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 Nanox.ARC Division</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Saban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Manager Nanox.AI Division</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Tamar Aharon Cohen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Marketing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Gali Yahav Attias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Corporate Resources</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Marina Gofman Feler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Noga Kainan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Suesskind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Alroy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Jackman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Nehama Ronen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by us, effective July 31, 2026, Mr. Daniel will step down from his position as our Chief Financial Officer and will be succeeded in that role by Mr. Guy Nathanzon.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Erez Meltzer </w:t>
      </w:r>
      <w:r>
        <w:rPr>
          <w:rFonts w:ascii="Times New Roman" w:cs="Times New Roman" w:eastAsia="Times New Roman" w:hAnsi="Times New Roman"/>
          <w:sz w:val="18"/>
          <w:szCs w:val="18"/>
          <w:color w:val="auto"/>
        </w:rPr>
        <w:t>has served as a member of our board of directors since December 2019, in January 2022, assumed the role of our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in June 2024 assumed the role of our Acting Chairman. Mr. Meltzer served as the Executive Chairman of the board of directors of Hadassah Medical and University Center from 2014 to 2020. Since 2008, Mr. Meltzer has served as a teaching professor at the Tel Aviv Faculty of Medicine in the area of crisis management. Mr. Meltzer served as Executive Vice Chairman and Chief Executive Officer of Gadot Chemicals &amp; Shipping Group from 2009 to 2014. Prior to that, Mr. Meltzer served as Chief Executive Officer of Africa-Israel Ltd. from 2006 to 2007 and President and Chief Executive Officer of Netafim Ltd. from 2001 to 2006. Mr. Meltzer also served as Chief Executive Officer of Creo Scitex from 1996 to 2001. Mr. Meltzer serves as a director of Turpaz Industries Ltd. (TASE), Eltek Ltd. (NASDAQ) and Hadasit Bio Holdings Ltd. (TASE) as well as a director and chairman of a number of private companies.</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Ran Daniel </w:t>
      </w:r>
      <w:r>
        <w:rPr>
          <w:rFonts w:ascii="Times New Roman" w:cs="Times New Roman" w:eastAsia="Times New Roman" w:hAnsi="Times New Roman"/>
          <w:sz w:val="18"/>
          <w:szCs w:val="18"/>
          <w:color w:val="auto"/>
        </w:rPr>
        <w:t>has served as our Chief Financial Officer since August 2021. Mr. Daniel has extensive experience working as a chief financial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rapidly growing companies and publicly traded companies. Mr. Daniel served as the chief financial officer of the IDH Group from 2012 until 2014, the chief financial officer of Elie Tahari family office from 2014 to 2016, the chief financial officer of Blue Sphere Corporation from 2016 to 2018 and Chief Financial Officer at Cuentas from 2018 to 2023. Mr. Daniel is licensed as a Certified Public Accountant in the United States and Israel, Chartered Financial Analyst (CFA) and is admitted to practice law in the State of New York. Mr. Daniel holds a Bachelor of Economics, a Bachelor of Accounting and an MBA in Finance from the Hebrew University of Jerusalem, as well as a Graduate Degree in Law from Bar Ilan University.</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James Dara </w:t>
      </w:r>
      <w:r>
        <w:rPr>
          <w:rFonts w:ascii="Times New Roman" w:cs="Times New Roman" w:eastAsia="Times New Roman" w:hAnsi="Times New Roman"/>
          <w:sz w:val="18"/>
          <w:szCs w:val="18"/>
          <w:color w:val="auto"/>
        </w:rPr>
        <w:t>has served as our General Manager Source &amp; Services Division since January 2022, after having served as our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in January 2021. Prior to joining us, Mr. Dara served as President of myCharge from 2012 to 2020. Prior to myCharge, Mr. Dara served as Vice President of Business Development for Powermat Technologies Ltd. from 2009 to 2014 and as Interim CEO and Vice President of Business Development of Wellsense Technologies Ltd. from 2009 to 2015. From 2003 to 2009, Mr. Dara served as Chief Sales Officer, Senior Vice President and General Manager of North America for Braintech Inc. In addition, from 1998 to 2002, Mr. Dara served as a Sales Manager and Sales Engineer for ITW Shakeproof Group. Mr. Dara received his Bachelor of Science degree in Mechanical Engineering from Michigan State University, and his Master’s degree in Finance from Walsh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Ofir Koren </w:t>
      </w:r>
      <w:r>
        <w:rPr>
          <w:rFonts w:ascii="Times New Roman" w:cs="Times New Roman" w:eastAsia="Times New Roman" w:hAnsi="Times New Roman"/>
          <w:sz w:val="18"/>
          <w:szCs w:val="18"/>
          <w:color w:val="auto"/>
        </w:rPr>
        <w:t>has served as our General Manager Nanox.ARC Division since January 2022, after having served as our Chief Technology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in January 2021. Prior to joining us, Mr. Koren served as General Manager Israel and Vice President of Research &amp; Development and Regulatory Affairs at ReWalk Robotics from 2013 to 2021. From 2012 to 2013, Mr. Koren served as Research &amp; Development Manager for ReWalk Robotics. Prior to ReWalk Robotics, Mr. Koren served as General Manager at RuggedCOM from 2009 to 2012. From 2007 to 2009, Mr. Koren served as Vice President of Research &amp; Development at Alvarion. Mr. Koren served as Research &amp; Development Director at Alvarion from 2004 to 2007. Mr. Koren received his Bachelor of Science degree in Electrical Engineering from Tel Aviv University, and he holds an M.B.A. degree from Heriot-Watt University.</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Sharon Saban </w:t>
      </w:r>
      <w:r>
        <w:rPr>
          <w:rFonts w:ascii="Times New Roman" w:cs="Times New Roman" w:eastAsia="Times New Roman" w:hAnsi="Times New Roman"/>
          <w:sz w:val="18"/>
          <w:szCs w:val="18"/>
          <w:color w:val="auto"/>
        </w:rPr>
        <w:t>has served as Nanox AI’s VP R&amp;D from August 2022, commencing as of January 2023, as Nanox AI’s Chief Operating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October 2025 as our General Manager of the AI division. Prior to joining us, Mr. Saban served as a Vice President of program management at Parallel Wireless between 2020 to 2022. From 2018 to 2020, Mr. Saban served as COO of Mantis Vision. Prior to Mantis Vision, Mr. Saban served as the Director for Business Development at Samsung Strategy and Innovation Center (SSIC) between 2015-2018. Prior to Samsung, Mr. Saban served as the VP R&amp;D for Essence Group between 2008-2015. Mr. Saban received his Bachelor of Science degree in Electrical Engineering from Tel Aviv University.</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Tamar Aharon Cohen </w:t>
      </w:r>
      <w:r>
        <w:rPr>
          <w:rFonts w:ascii="Times New Roman" w:cs="Times New Roman" w:eastAsia="Times New Roman" w:hAnsi="Times New Roman"/>
          <w:sz w:val="18"/>
          <w:szCs w:val="18"/>
          <w:color w:val="auto"/>
        </w:rPr>
        <w:t>has served as our Executive Vice President and Chief Marketing Officer since June 2022, after having served as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Officer from January 2021. Prior to joining us, Ms. Aharon Cohen served as the Chief Executive Officer of Tempo Beverages Cyprus Ltd. from 2017 to 2021. Ms. Aharon Cohen served as a Division Manager and a Marketing Manager at Tempo Beverages Ltd. from 2010 to 2017. From 2006 to 2010, Ms. Aharon Cohen served as a Marketing Manager for L’Oréal Israel. Ms. Aharon Cohen holds a LLB degree, a B.A. degree in Management and an executive M.B.A. degree, all from Tel Aviv University.</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Gali Yahav Attias </w:t>
      </w:r>
      <w:r>
        <w:rPr>
          <w:rFonts w:ascii="Times New Roman" w:cs="Times New Roman" w:eastAsia="Times New Roman" w:hAnsi="Times New Roman"/>
          <w:sz w:val="18"/>
          <w:szCs w:val="18"/>
          <w:color w:val="auto"/>
        </w:rPr>
        <w:t>has served as our Chief of Staff since December 2021, commencing May 2022, as our Chief of Staff and Vice President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and commencing April 2024 as our Chief of Corporate Resources. Ms. Yahav Attias first joined our company as project manager in August 2021. From 2007 to 2021, Ms. Yahav Attias served as the Executive Administrator as well as Secretary of the Board and the external audit committee and compliance officer of the Hadassah Medical and University Center. From 2014 to 2017, Ms. Yahav Attias also served as the executive liaison of the government recovery agreement implementation in Hadassah Medical Center. Ms. Yahav Attias holds a B.A. degree in Social Sciences and Humanities from the Open University of Ra’anana, Israel.</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Marina Gofman Feler </w:t>
      </w:r>
      <w:r>
        <w:rPr>
          <w:rFonts w:ascii="Times New Roman" w:cs="Times New Roman" w:eastAsia="Times New Roman" w:hAnsi="Times New Roman"/>
          <w:sz w:val="18"/>
          <w:szCs w:val="18"/>
          <w:color w:val="auto"/>
        </w:rPr>
        <w:t>has served as our Chief Legal Officer since November 2022. Prior to that, Ms. Gofman Feler served as the General Counsel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CollPlant Biotechnologies Ltd. (NASDAQ), a publicly traded biotech company, from 2021 to 2022. Prior to that, Ms. Gofman Feler served as the Legal Counsel of CollPlant Biotechnologies Ltd. from 2018 to 2021. Prior to that, Ms. Gofman Feler served as an associate at Yaron-Eldar, Paller, Schwartz &amp; Co., law offices, from 2015 to 2018. Ms. Gofman Feler holds a L.LB degree in Law and a B.A degree in Economics from Tel Aviv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Noga Kainan </w:t>
      </w:r>
      <w:r>
        <w:rPr>
          <w:rFonts w:ascii="Times New Roman" w:cs="Times New Roman" w:eastAsia="Times New Roman" w:hAnsi="Times New Roman"/>
          <w:sz w:val="18"/>
          <w:szCs w:val="18"/>
          <w:color w:val="auto"/>
        </w:rPr>
        <w:t>has served as a member of our board of directors since February 2021. Ms. Kainan established in 2008 the forum for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chairpersons and CEOs of the leading companies in the Israeli economy. Ms. Kainan also serves as chairperson of the CFO Forum, which brings together the CFOs of the leading companies in the economy, since she established it in 1997. Ms. Kainan’s public activities include membership in committees in the Israeli Prime Minister’s Office, member in the Board of Directors of Bar Ilan University as well as chairperson in DIVE, an AI startup for the psychological caregiving, and member of the board of an NGO for IDF soldiers’ welfare. Ms. Kainan served as a director of the following companies traded on the Tel Aviv Stock Exchange: Bizportal Ltd., Poalim I.B.I – Managing &amp; Underwriting Ltd. and Analyst Provident Funds Ltd. Ms. Kainan also served as director at Oil Refineries Ltd. before the company was listed on the Tel Aviv Stock Exchange. Ms. Kainan serves as director of a number of private companies. Ms. Kainan served as a representative at the International Association of Financial Executives Institutes (IAFEI). Ms. Kainan, co-authored the book “Israel – Island of success,” published in Hebrew, English and Korean. Ms. Kainan has a bachelor’s degree in art and literature from Haifa University and an MBA degree from Tel Aviv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Suesskind </w:t>
      </w:r>
      <w:r>
        <w:rPr>
          <w:rFonts w:ascii="Times New Roman" w:cs="Times New Roman" w:eastAsia="Times New Roman" w:hAnsi="Times New Roman"/>
          <w:sz w:val="18"/>
          <w:szCs w:val="18"/>
          <w:color w:val="auto"/>
        </w:rPr>
        <w:t>has served as a member of our board of directors since February 2021. Mr. Suesskind served as the Chief Financial Officer of Teva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Industries Ltd. (“Teva”) from 1977 to 2008 and as a director of Teva for several periods of time until 2018. Mr. Suesskind is currently a director of Sanotize Research and Development Corp., Imed Infinity Medical Limited partnership (TASE) and The Jerusalem Foundation. Mr. Suesskind previously served as a director of the following companies: Israel Corporation Ltd., Redhill Biopharma Ltd., Syneron Medical Ltd., Migdal Ltd., Ness Technologies Inc., the First International Bank of Israel, First International Selective Investment – Portfolio Management Company Ltd., LanOptics Ltd., ESC Medical Systems and the Hadassah Medical Center in Jerusalem. Mr. Suesskind’s public activities include membership in the Investment Committee of the Israeli Academy of Sciences and Humanities, Ben Gurion University and the Jerusalem Foundation. Mr. Suesskind is a member of the Board of Trustees of the Hebrew University of Jerusalem and of the Board of Trustees of the Ben Gurion University. Mr. Suesskind has a bachelor’s degree in economics and political science from the Hebrew University of Jerusalem and an M.B.A. degree from the University of Massachusetts.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Jackman </w:t>
      </w:r>
      <w:r>
        <w:rPr>
          <w:rFonts w:ascii="Times New Roman" w:cs="Times New Roman" w:eastAsia="Times New Roman" w:hAnsi="Times New Roman"/>
          <w:sz w:val="18"/>
          <w:szCs w:val="18"/>
          <w:color w:val="auto"/>
        </w:rPr>
        <w:t>has served as a member of our board of directors since June 2024. Mr. Jackman currently serves as the CEO of 3DR Labs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of 2024, Mr. Jackman served as the chief operating officer of the Leidos (LDOS) health group from 2020 to 2024, overseeing the day-to-day operations of the Leidos Health Group to deliver a range of healthcare solutions and services. Prior to that, Mr. Jackman was the chief executive officer of Mach7 Technologies, from 2017 to 2019, a company which focused on modernizing enterprise imaging. In addition, Mr. Jackman was a senior executive at GE Healthcare from 2011 to 2017, serving as the Americas Region CEO for Healthcare Digital (HCIT) and as the General Manager for Enterprise Imaging and care delivery solutions. Prior to 2011, Mr. Jackman held leadership roles for Carestream Health (President HCIT), iSOFT Health Group (EVP Operations), and Eastman Kodak (CTO of Healthcare division) and lastly at IBM, where he started his career in hardware and software and held several leadership positions. Mr. Jackman serves as a director of a number of private companies. Mr. Jackman holds a BSEE in Electrical Engineering from University of Rhode Island, and an MBA in Business Administration from Nova University.</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Erez Alroy </w:t>
      </w:r>
      <w:r>
        <w:rPr>
          <w:rFonts w:ascii="Times New Roman" w:cs="Times New Roman" w:eastAsia="Times New Roman" w:hAnsi="Times New Roman"/>
          <w:sz w:val="18"/>
          <w:szCs w:val="18"/>
          <w:color w:val="auto"/>
        </w:rPr>
        <w:t>has served as a member of our board of directors since June 2022. Mr. Alroy was part of the founders of SHL Telemedicine (SIX: SHLTN)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more than 20 years served in various positions in the SHL Telemedicine group, including 15 years as its Chief Executive Officer. From 2014 and until 2020, Mr. Alroy was a major shareholder and the chairman of Migvan Engineering and Technology. Mr. Alroy previously served in various board positions, including SHL Telemedicine Ltd. and Merhavia Holdings and Investments Ltd. (TASE), an investment firm that invests mainly in life science and healthcare companies. Mr. Alroy is also a director of Ayelet, the National Federation of Non-Olympic Sport. Mr. Alroy holds an MBA degree from the Hebrew University of Jerusalem.</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Nehama Ronen </w:t>
      </w:r>
      <w:r>
        <w:rPr>
          <w:rFonts w:ascii="Times New Roman" w:cs="Times New Roman" w:eastAsia="Times New Roman" w:hAnsi="Times New Roman"/>
          <w:sz w:val="18"/>
          <w:szCs w:val="18"/>
          <w:color w:val="auto"/>
        </w:rPr>
        <w:t>has served as a member of our board of directors since December 2023. Prior to that Ms. Ronen served as the Director General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Israeli Ministry of Environmental Protection (during the years 1996-1999) and as a member of the Israeli Knesset (during the years 2001-2003). Since 2004, Ms. Ronen has served as the Chairperson of Maman Cargo Terminals &amp; Handling Ltd., Israel’s largest and leading logistic company. From 2005-2019, Ms. Ronen served as Executive Chairperson of ELA Recycling Corporations. Ms. Ronen has served on the board of directors, of Dan Public Transportation since 2020 and of Trendlines Group (which invests in innovations in agrifood technologies and MedTech) since 2022. Previously, Ms. Ronen served as a director of Tamar Petroleum Ltd. (during the years 2017-2026), on the board of directors of Bank Hapoalim (during the years 2010-2015), SHL Telemedicine (during the years 2007-2016) Trucknet Enterprise Ltd. (during the years 2022-2023). Ms. Ronen also previously served as a member of the board of directors of Oil Refineries Ltd., where she also served as the chairperson of its environmental committee and a member of its audit and corporate governance committees (during the years 2008-2011). Ms. Ronen’s civic activities include participating in a number of advisory boards of major Israeli academic institutions. Ms. Ronen holds a B.A. degree in Education and History from Tel Aviv University and Beit Berl Collage and an M.A. degree in Public Management from Haifa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compensation, including share-based compensation, paid or expensed by us to our executive officers and directors for the year ended December 31, 2025 was approximately $7.4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table below sets forth the salary expenses and social benefit costs of our five most highly compensated office holders (as defined in the Companies Law) during or with respect to the year ended December 31, 2025. We refer to the five individuals for whom disclosure is provided herein as our “Covered Executives.” For purposes of the table and the summary below, “compensation” includes base salary, bonuses, equity-based compensation, retirement or termination payments, and any benefits or perquisites such as car, phone and social benefits, as well as any undertaking to provide such compensation in the future.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Information Regarding the Covered Executive</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Benefits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and Principal Position </w:t>
            </w:r>
            <w:r>
              <w:rPr>
                <w:rFonts w:ascii="Times New Roman" w:cs="Times New Roman" w:eastAsia="Times New Roman" w:hAnsi="Times New Roman"/>
                <w:sz w:val="29"/>
                <w:szCs w:val="29"/>
                <w:b w:val="1"/>
                <w:bCs w:val="1"/>
                <w:color w:val="auto"/>
                <w:vertAlign w:val="superscript"/>
              </w:rPr>
              <w:t>(2)</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1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Equity-Based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400" w:type="dxa"/>
            <w:vAlign w:val="bottom"/>
            <w:gridSpan w:val="2"/>
            <w:vMerge w:val="continue"/>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Perquisites</w:t>
            </w:r>
            <w:r>
              <w:rPr>
                <w:rFonts w:ascii="Times New Roman" w:cs="Times New Roman" w:eastAsia="Times New Roman" w:hAnsi="Times New Roman"/>
                <w:sz w:val="29"/>
                <w:szCs w:val="29"/>
                <w:b w:val="1"/>
                <w:bCs w:val="1"/>
                <w:color w:val="auto"/>
                <w:w w:val="94"/>
                <w:vertAlign w:val="superscript"/>
              </w:rPr>
              <w:t>(3)</w:t>
            </w:r>
          </w:p>
        </w:tc>
        <w:tc>
          <w:tcPr>
            <w:tcW w:w="140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9"/>
                <w:szCs w:val="29"/>
                <w:b w:val="1"/>
                <w:bCs w:val="1"/>
                <w:color w:val="auto"/>
                <w:w w:val="97"/>
                <w:vertAlign w:val="superscript"/>
              </w:rPr>
              <w:t>(4)</w:t>
            </w:r>
          </w:p>
        </w:tc>
        <w:tc>
          <w:tcPr>
            <w:tcW w:w="160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9"/>
                <w:szCs w:val="29"/>
                <w:b w:val="1"/>
                <w:bCs w:val="1"/>
                <w:color w:val="auto"/>
                <w:vertAlign w:val="superscript"/>
              </w:rPr>
              <w:t>(5)</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Erez Meltzer, Chief Executive Officer and Acting</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310,662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771,707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2,094,689</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Ofir Koren, General Manager of the Nanox.ARC Division</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271,073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100,190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53,085</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151,979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576,327</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Tamar Aharon Cohen, EVP and Chief Marketing Officer</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225,894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86,276</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41,414</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605,708</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Daniel, Chief Financial Officer</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65,281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63,800</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298,191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840,272</w:t>
            </w:r>
          </w:p>
        </w:tc>
        <w:tc>
          <w:tcPr>
            <w:tcW w:w="0" w:type="dxa"/>
            <w:vAlign w:val="bottom"/>
          </w:tcPr>
          <w:p>
            <w:pPr>
              <w:spacing w:after="0"/>
              <w:rPr>
                <w:sz w:val="1"/>
                <w:szCs w:val="1"/>
                <w:color w:val="auto"/>
              </w:rPr>
            </w:pP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Dara, General Manager of Source and Services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Division</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42,046</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61,000</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Israeli law, all amounts reported in the table are in terms of cost to our Company, as recorded in our financial statements for the year ended December 31,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amounts denominated in currencies other than the U.S. dollar were converted into U.S. dollars at the average conversion rate for the year ended December 31,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applicable law. Such benefits and perquisites may include, to the extent applicable to each executive, payments, contributions and/or allocations for pension, severance, vacation, car or car allowance, convalescence pay, payments for social security, tax gross-up payments and other benefits and perquisites consistent with our guidelines, regardless of whether such amounts have actually been paid to the executive.</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Variable Compensation such as incentives and earned or paid bonuses as recorded in our financial statements for the year ended December 31,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financial statements for the year ended December 31, 2025 with respect to equity-based compensation, reflecting also equity awards made in previous years which have vested during the current year. Assumptions and key variables used in the calculation of such amounts are described in Note 11 to our audited consolidated financial statements, which are included elsewhere in this annual report on Form 20-F.</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pay each of our non-employee directors a cash fee of $43,000 per year plus an additional annual fee for service on a board committee of $9,000 per each committee (or $18,000 for the chairperson of a committee) to be paid in four equal, quarterly installments.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our directors and officers were granted a total of 87,720 RSUs. As of December 31, 2025, 1,283,597 RSUs were granted to our executive officers and directors under our 2019 Equity Incentive Plan, at a weighted average exercise price of $23.99, granted under the 2019 Equity Incentive Plan, were outstanding.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being noted that Mr. Meltzer is not compensated for his role as acting chairperson.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previously entered into directorship agreements with certain of our directors in connection with their initial nomination to our board of directors. There are currently no arrangements or understandings between us, on the one hand, and any of our directors, on the other hand, providing for benefits upon termination of their service as directors of our Company; however, our agreement with Mr. Erez Meltzer, our Chief Executive Officer and Chairman, provides for benefits upon termination of his service as Chief Executive Officer, as described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written agreements with all of our current executive officers.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“Item 3. Key Information—D. Risk Factors— Risks Related to Employee Matters—Under applicable employment laws, we may not be able to enforce covenants not to compete and therefore may be unable to prevent our competitors from benefitting from the expertise of some of our former employees” for a further description of the enforceability of non-competition clauses.</w:t>
      </w:r>
    </w:p>
    <w:p>
      <w:pPr>
        <w:spacing w:after="0" w:line="18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We entered into an employment agreement with Mr. Meltzer, who has served as a director since December 2019, in connection with his appointment as our Chief Executive Officer, effective as of January 1, 2022. Under the agreement, Mr. Meltzer is entitled to a gross annual salary of $900,000. In addition, Mr. Meltzer is entitled to an annual bonus (discretionary and based on measurable criteria) of $900,000, with a guaranteed bonus of at least $450,000 for the 2022 fiscal year if his employment is continued through the entire fiscal year, with the possibility to withdraw an advance payment on account of the 2022 annual bonus, subject to recourse (clawback) for any amount of the 2022 annual bonus that is not earned in excess of the guaranteed portion of the 2022 annual bonus. Accordingly, in 2022, Mr. Meltzer withdrew an advance payment in the amount of $700,000 on account of his 2022 annual bonus, subject to resource (clawback) as described. Under the agreement, we and Mr. Meltzer are required to provide six months’ prior notice of employment termination (except for “Cause” as defined in his employment agreement, in which case no prior notice will be required). If we terminate Mr. Meltzer’s employment and waive his obligation to perform services during the notice period, Mr. Meltzer will be entitled to receive payments of his base salary, social benefits and a company car in lieu of notice for the waived period, up to the full notice period for an immediate termination. In connection with his appointment as our Chief Executive Officer, we granted Mr. Meltzer options to purchase 300,000 ordinary shares at an exercise price of US$23.84 (which may be by way of a cashless exercise mechanism) under our 2019 Equity Incentive Plan. The options vest over a period of four years, such that 25% of the options vested on the first anniversary of the date of grant and thereafter, the options vest equally on a quarterly basis, subject to the continuous engagement by us at each vesting date. These options will have full acceleration in case of consummation of an M&amp;A Transaction (as such term is defined under our 2019 Equity Incentive Plan). In addition, Mr. Meltzer was granted options to purchase 150,000 ordinary shares at an exercise price of US$11.52, which shall vest over a period of four (4) years commencing on April 16, 2024, with one sixteenth of such options vesting at the end of each subsequent three-month period following the grant, and 50,000 RSUs, which shall vest after a period of six (6) months commencing on April 16, 2024. The above equity compensation is in addition to Mr. Meltzer’s equity compensation as a director. Mr. Meltzer does not receive additional cash compensation as a 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3, 2019, we adopted the 2019 Equity Incentive Plan and its U.S. sub-Plan (the “2019 Equity Incentive Plan”). The 2019 Equity Incentive Plan is intended to afford an incentive to any of our and our affiliates’ employees, directors, officers, consultants, advisors and any other person or entity who provides services to us, to continue as service providers, to increase their efforts on our and our affiliates’ behalf and to promote our success, by providing such persons with opportunities to acquire a proprietary interest in us. The U.S. sub-Plan applies to our and any of our affiliates’ employees, directors, officers, consultants, advisors and any other person or entity who provides services to us who are subject to United States federal income tax.</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under the 2019 Equity Incentive Plan and its U.S. sub-Plan up to 10,345,830 of our ordinary shares, subject to adjustment if particular capital changes affect our share capital or such other number as our board of directors may determine from time to time. Ordinary shares subject to outstanding awards under the 2019 Equity Incentive Plan and its U.S. sub-Plan that subsequently expire, or are cancelled, forfeited or terminated for any reason before being exercised will be automatically, and without any further action, returned to the share reserve under the 2019 Equity Incentive Plan and will again be available for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our compensation policy, see “Item 6. Directors, Senior Management and Employees—C. Board Practices—Compensation Committee.”</w:t>
      </w:r>
    </w:p>
    <w:p>
      <w:pPr>
        <w:spacing w:after="0" w:line="158" w:lineRule="exact"/>
        <w:rPr>
          <w:sz w:val="20"/>
          <w:szCs w:val="20"/>
          <w:color w:val="auto"/>
        </w:rPr>
      </w:pPr>
    </w:p>
    <w:p>
      <w:pPr>
        <w:ind w:right="9680" w:firstLine="8"/>
        <w:spacing w:after="0" w:line="503" w:lineRule="auto"/>
        <w:tabs>
          <w:tab w:leader="none" w:pos="3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Four of our directors qualify as independent directors under the corporate governance standards of the Nasdaq corporate governance rules and the independence requirements of Rule 10A-3 of the Exchange Act.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number of directors on our board of directors will be no less than five and no more than ten. The minimum and maximum number of directors may be changed, at any time and from time to time, by vote of our shareholders.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directors are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Each director holds office until the third annual general meeting of our shareholders and until his or her successor is duly appointed, unless the tenure of such director expires earlier pursuant to the Companies Law or unless removed from office as described below.</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directors are divided among three classes as follows: the Class I directors, consisting of Erez Meltzer and Nehama Ronen, will hold office until our annual general meeting of shareholders to be held in 2027; the Class II directors, consisting of Erez Alroy and Noga Kainan, will hold office until our annual general meeting of shareholders to be held in 2028; and the Class III directors, consisting of Dan Suesskind and Michael Jackman will hold office until our annual general meeting of shareholders to be held in 2026.</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of the directors shall be elected by a vote of the holders of a majority of the voting power present and voting at that meeting (excluding abstentions). Each director will hold office until the annual general meeting of our shareholders for the year in which his or her term expires, unless the tenure of such director expires earlier pursuant to the Companies Law or unless he or she is removed from office. Under our amended and restated articles of association, the approval of the holders of at least sixty-six and two-thirds percent or more of the votes cast by those shareholders voting in person or by proxy (including by voting deed) is required to remove any of our directors from office (excluding abstentions).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our amended and restated articles of association, our board of directors may appoint directors to fill vacancies on our board of directors, including if the number of directors is below the maximum number of directors who may serve as provided in our amended and restated articles, for a term of office equal to the remaining period of the term of office of the director(s) whose office(s) has been vacated, or in case of a vacancy due to the number of directors serving being less than the maximum number stated in our amended and restated articles, the board of directors shall determine at the time of appointment the class to which the additional director shall be assigned.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Israeli law, the chief executive officer or a relative of the chief executive officer of a public company may not serve as the chairman of the board of directors of the company and the chairman or a relative of the chairman may not be vested with the authority of the chief executive officer, in each case, unless approved by our shareholders by a special majority vote as discussed below with respect to the approval of director compensation, as required under the Companies Law. The shareholders’ approval can be provided for a period of five years following an initial public offering, and subsequently, for additional periods of up to three years. In addition, a person who is subordinated, directly or indirectly, to the chief executive officer may not serve as the chairman of the board of directors; the chairman of the board of directors may not be vested with authorities that are granted to persons who are subordinated to the chief executive officer; and the chairman of the board of directors may not serve in any other position in the company or in a controlled subsidiary, but he or she may serve as a director or chairman of a controlled subsidiary. Prior to our initial public offering, we obtained our shareholders’ approval that the late Mr. Ran Poliakine may have served as both our chairman of the board of directors and chief executive officer for a period of up to five years from the closing of our initial public offering. The late Mr. Poliakine retired from the position of Chief Executive Officer effective as of December 31, 2021 and continued to serve as non-executive chairman of our board of directors until his passing on January 12, 2024. On June 25, 2024, our shareholders approved the nomination of Mr. Erez Meltzer as the acting chairman of the board, following the board’s determination that Mr. Meltzer is the right candidate to step into the position of the acting chairman and fill the vacancy created due to the passing of Mr. Poliakine.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under the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require at least one director with the requisite financial and accounting expertise and that each of Noga Kainan and Dan Suesskind has such expertise.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Companies Law, companies incorporated under the laws of the State of Israel, whose shares are publicly traded, including companies with shares listed on the Nasdaq, are required to appoint at least two external directors within three months of the closing of the initial public offering. While we exceeded the three-month period, our shareholders approved the appointment of two external directors, Noga Kainan and Dan Suesskind as external directors in February 2021.</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pursuant to regulations promulgated under the Companies Law, companies that do not have a controlling shareholder (within the meaning of the Companies Law) with shares traded on certain U.S. stock exchanges, including the Nasdaq Global Market, may, subject to certain conditions, “opt out” from the Companies Law requirements to appoint external directors and related Companies Law rules concerning the composition of the audit committee and compensation committee of the board of directors.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28, 2022, in accordance with these regulations, our board of directors elected to “opt out” from the Companies Law requirement to appoint external directors and related Companies Law rules concerning the composition of the audit committee and compensation committee of the board of directors, effective as of March 31, 2022.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Nasdaq Global Market, and (iii) we comply with the director independence requirements and the audit committee and compensation committee composition requirements under U.S. laws (including applicable Nasdaq rules) applicable to U.S. domestic issuers. Our directors who were previously designated as external directors, Noga Kainan and Dan Suesskind, continue to serve as “ordinary” (non-external) directors, as Class II and Class III directors, respectively, until the end of the term of their respective 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nominating committee consists of Mr. Meltzer and Ms. Ronen. The responsibilities of the nominating committee include overseeing and assisting our board in reviewing and recommending nominees for election as directors and overseeing the assessment of the performance of the members of our board</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Law Requirements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regulations promulgated under the Companies Law described above, on March 28, 2022, our board of directors elected to “opt out” from the Companies Law requirement to appoint external directors and related rules concerning the composition of the audit committee and compensation committee, effective as of March 31, 2022. Under such exemption, among other things, the composition of our audit committee must comply with the requirements of SEC and Nasdaq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Requirements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an audit committee consisting of at least three independent directors, all of whom are financially literate, none of whom has participated in the preparation of our or any of our subsidiary’s financial statements at any time during the prior three years and one of whom has accounting or related financial management expertise.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U.S. law and Nasdaq requirements, our audit committee is responsible for the appointment,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currently consists of Noga Kainan, Dan Suesskind, Nehama Ronen, and Erez Alroy. Noga Kainan serves as chairperson of the audit committee. Our board of directors has determined, in its business judgment, that each of Noga Kainan and Dan Suesskind is an audit committee financial expert as defined by the SEC rules and has the requisite financial experience as defined by the Nasdaq corporate governance rules.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the members of the audit committee is required to be “independent” as such term is defined in Rule 10A-3(b)(1)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Role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the responsibilities of the audit committee consistent with the rules of the SEC and the Nasdaq corporate governance rules, as well as the requirements for such committee under the Companies Law and other applicable Israeli laws, which include:</w:t>
      </w:r>
    </w:p>
    <w:p>
      <w:pPr>
        <w:spacing w:after="0" w:line="176"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retention and termination of our independent registered public accounting firm to the board of directors in accordance with Israeli law;</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in accordance with Israeli law the appointment, compensation, retention and oversight of any accounting firm engaged for the purpose of preparing or issuing an audit report or performing other audit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terms of audit and non-audit services to be provided by the independent registered public accounting firm for pre-approval by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directors our financial statements prior to their submission to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transactions with office holders and controlling shareholders, as described below, and other related party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of the manner the Company implements the requirements of the Privacy Protection Law, 1981 and the Privacy Protection Regulations (Data Security), 2017.</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under the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The audit committee is also required to adopt procedures with respect to processing of employees’ complaints in connection with deficiencies in the management of the company, and the appropriate means of protection afforded to such employees. In addition, the audit committee or the board of directors, as set forth in the articles of association of the company, is required to approve the yearly or periodic work plan proposed by the internal auditor, and where the board of directors approves such work plan, to examine such work plan before its submission to the board of directors and propose amendments thereto. The audit committee is required to assess the company’s internal audit system and the performance of its internal auditor. The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Companies Law and whether certain transactions with a controlling shareholder will be subject to a competitive procedure.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charter states that in fulfilling its role the committee is empowered to conduct or authorize investigations into any matters within its scope of responsibilities.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Transactions with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approval of the audit committee is required to effect specified actions and transactions with office holders and controlling shareholders and their relatives, or in which they have a personal interest. The audit committee may not approve an action or a transaction with a controlling shareholder or with an office holder unless, among other things, at the time of approval the audit committee meets the composition requirements under the Companies Law.</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company and, in any event, not later than the board meeting at which the transaction is first discussed, any personal interest that he or she may have, and all related material information known to him or her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non-extraordinary transaction, meaning any transaction that is in the ordinary course of business, on market terms and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approval of such a transaction then all of the directors may participate in deliberations of the audit committee or board of directors, as applicable, with respect to such transaction and vote on the approval thereof and, in such case, shareholder approval is also required.</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regulations promulgated under the Companies Law described above, on March 28, 2022, our board of directors elected to “opt out” from the Companies Law requirement to appoint external directors and related rules concerning the composition of the audit committee and compensation committee, effective as of March 31,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 compensation committee consisting of at least two directors, each of whom is an independent director within the meaning of the Nasdaq corporate governance rules. Our compensation committee currently complies with the provisions of Nasdaq corporate governance rules relating to composition requirements.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currently consists of Dan Suesskind, Noga Kainan and Erez Alroy. Dan Suesskind serves as chairperson of the compensation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Companies Law, the roles of the compensation committee are, among others,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the compensation policy for directors and officers, and, once every three years, or five years from a company’s initial public offering, to recommend to the board of directors, whether the compensation policy that had been approved should be extended for a longer period of time;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updates to the compensation policy, from time to time, and examine its implementation;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whether to approve the terms of office and employment of directors and officers that require approval of the compensation committee;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roles mentioned above, our compensation committee may also make recommendations to our board of directors regarding the awarding of employee equity grants.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under the Companies Law, a public company must have a compensation policy that applies to its office holders approved by the board of directors after receiving and considering the recommendations of the compensation committee. In addition, the compensation policy, which must be approved at least once every three years, or five years after a company’s initial public offering, requires the approval of the general meeting of the shareholders. In public companies such as our company, shareholder approval by a majority vote of the ordinary shares present and voting at a meeting of shareholders called for such purpose is required, provided that either: (i) such majority includes the majority of the votes of those shareholders who are non-controlling shareholders and shareholders who do not have a personal interest in the approval of the compensation policy, who voted at the meeting (excluding abstentions) or (ii) the total number of votes against the proposal among the shareholders mentioned in clause (i) does exceed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in the best interests of the company.</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if a company initially offering its securities to the public, adopts a compensation policy in advance of its initial public offering, and describes the compensation policy in the prospectus relating to the offering, or adopts a compensation policy within nine months from the date the company becomes a public company, then the compensation policy is deemed a validly adopted policy in accordance with the Companies Law requirements described above and will be valid for a term of five years from the date such company becomes a public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policy must be based on certain considerations, include certain provisions and needs to reference certain matters as set forth in the Companies Law.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and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8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 skills, experience, expertise and accomplishments of the relevant office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position, responsibilities and prior compensation agreements with him or her;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variable components — the possibility of reducing variable components at the discretion of the board of directors and the possibility of setting a limit on the exercise value of non-cash variable equity-based components;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severance compensation — the term of employment or office of the office holder, the terms of his or her compensation during such period, the company’s performance during the such period, his or her individual contribution to the achievement of the company goals and the maximization of its profits and the circumstances under which the office holder is leaving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ind w:left="340"/>
        <w:spacing w:after="0"/>
        <w:rPr>
          <w:sz w:val="20"/>
          <w:szCs w:val="20"/>
          <w:color w:val="auto"/>
        </w:rPr>
      </w:pPr>
      <w:r>
        <w:rPr>
          <w:rFonts w:ascii="Times New Roman" w:cs="Times New Roman" w:eastAsia="Times New Roman" w:hAnsi="Times New Roman"/>
          <w:sz w:val="18"/>
          <w:szCs w:val="18"/>
          <w:color w:val="auto"/>
        </w:rPr>
        <w:t>The compensation policy must also include, with regard to variable components: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office holders who are subordinate to the chief executive officer, determining the variable components on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monthly salaries per annum while taking into account the office holder’s contribution to the company;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variable and fixed components, as well as the limit of the values of variable components at the time of their grant.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than re-presented in the company’s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of variable equity-based components, while taking into consideration long-term incentives;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to retirement grants.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compensation policy was last approved by the board of directors and the shareholders on June 25, 2024, for a period of three years. Our compensation policy was designed to promote our objectives, business plan and long-term strategy, to create appropriate incentives to our office holders while taking into consideration the size and nature of operations of our Company as well as the competitive environment in which we operate. Our compensation policy is intended to incentivize superior individual excellence and to align the interests of our office holders with our long-term performance, and as a result, with those of our shareholders. To that end, a portion of an office holder compensation package is targeted to reflect both our short and long-term goals, the office holder’s individual performance, as well as measures designed to reduce office holder’s incentive to take excessive risks that may harm us in the long-term.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our compensation policy, the compensation that may be granted to an executive officer may include: base salary, annual bonuses and other cash bonuses (such as relocation/repatriation, signing and special bonuses), as well as equity-based compensation, retirement and termination of employment arrangements and other benefits. The cash bonuses that may be granted under the compensation policy are limited to a maximum amount linked to the executive officer’s base salary.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compensation policy, an annual cash bonus that may be awarded to executive officers (other than the chief executive officer) may be based on company, division, departmental, business unit, and individual objectives. Measurable performance objectives may be based on actual financial and operational results, personal objectives, operational objectives, project milestones objectives or investment in human capital objectives. We may also grant annual cash bonuses to executive officers (other than the chief executive officer) on a discretionary basis.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policy provides that the annual bonus awarded to our chief executive officer will be based on measurable performance objectives of the Company, subject to a minimum threshold. The measurable performance objectives will be determined annually by the compensation committee and the board of directors and will be based on actual financial and operational results, such as among others, revenues, sales, operating income, cash flow or the Company’s annual operating plan and long-term plan.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equity-based compensation under the compensation policy for our executive officers is consistent with the underlying objectives in determining the base salary and the annual cash bonus and designed to enhance the alignment between the executive officers’ interests with the long-term interests of the Company and its shareholders and to promote our retention efforts. Equity-based awards may be granted from time to time in the form of options and/or other equity-based awards, such as restricted share units, in accordance with the 2019 Plan, as may be updated from time to time, will be structured to vest over several years in order to align such executive officers incentives with longer-term strategic plans of the Company, and will be individually determined and awarded according to the performance, role and the personal responsibilities of the relevant executive officer.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compensation policy our executive officers may be granted with several cash and equity benefits upon or in connection with “Change of Control” or, where applicable, in the event of a Change of Control following which the employment of the executive officer is terminated or adversely adjusted in a material way. Our executive officers also may be granted with a non-compete grant upon the termination of their employment, the terms and conditions of which shall be decided by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8" w:name="page139"/>
    <w:bookmarkEnd w:id="13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policy contains compensation recovery (Clawback) provisions in the event of accounting restatement, which would allow the Company, under certain conditions, to recover bonuses or performance-based equity paid in excess of what would have been paid under the financial statements, as restated. The compensation policy also contains provisions that would enable our chief executive officer to approve any immaterial change in the terms of employment of other executive officers (provided that the changes of the terms of employment are in accordance with the compensation policy) and would allow the Company to exculpate, indemnify and insure our executive officers and directors subject to certain updated limitations set forth in the compensation policy.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policy also governs the compensation of our board of directors’ members and provides that our non-employee directors may be entitled to an annual cash fee retainer, up to the limits set forth in the compensation policy. Our chairperson may also be entitled to an annual cash fee and annual bonus limited to a maximum amount as set forth in the compensation policy. In special circumstances, such as in the case of a professional director, an expert director or a director who makes a unique contribution to the Company, such director’s compensation may be different than the compensation of all other directors and may be greater than the maximal cash fee retainer amount allowed in the compensation policy, subject to the approval of the Company’s shareholders as required under the Companies Law.</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compensation policy, our non-executive directors and our chairperson may also be awarded annual equity-based compensation up to the applicable limits set forth in the compensation policy, as shall be determined from time to time and approved by the compensation committee, the board of directors and the Company’s shareholders, which will be subject to a vesting schedule over several years. In addition, our directors will be entitled to reimbursement of expenses incurred in the performance of their duties to the Company.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being noted that Mr. Meltzer is not compensated for his role as acting chairperson.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Compensation of Directors and Executive Officers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Directors. </w:t>
      </w:r>
      <w:r>
        <w:rPr>
          <w:rFonts w:ascii="Times New Roman" w:cs="Times New Roman" w:eastAsia="Times New Roman" w:hAnsi="Times New Roman"/>
          <w:sz w:val="18"/>
          <w:szCs w:val="18"/>
          <w:color w:val="auto"/>
        </w:rPr>
        <w:t>Under the Companies Law, the compensation of our directors requires the approval of our compensation committee,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85"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matter and who vote against the compensation package does not exceed two percent (2%) of the aggregate voting rights in the Company.</w:t>
      </w:r>
    </w:p>
    <w:p>
      <w:pPr>
        <w:spacing w:after="0" w:line="16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Executive officers other than the Chief Executive Officer. </w:t>
      </w:r>
      <w:r>
        <w:rPr>
          <w:rFonts w:ascii="Times New Roman" w:cs="Times New Roman" w:eastAsia="Times New Roman" w:hAnsi="Times New Roman"/>
          <w:sz w:val="18"/>
          <w:szCs w:val="18"/>
          <w:color w:val="auto"/>
        </w:rPr>
        <w:t>The Companies Law requires the approval of the compensation of a public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(other than the chief executive officer) in the following order: (i) the compensation committee, (ii) the company’s board of directors, and</w:t>
      </w:r>
    </w:p>
    <w:p>
      <w:pPr>
        <w:jc w:val="both"/>
        <w:ind w:firstLine="8"/>
        <w:spacing w:after="0" w:line="252" w:lineRule="auto"/>
        <w:tabs>
          <w:tab w:leader="none" w:pos="32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compensation arrangement is inconsistent with the company’s stated compensation policy, the company’s shareholders (by a special majority vote as discussed above with respect to the approval of director compensation), provided that the compensation committee and the board of directors members have considered those provisions that must be included in the compensation policy according to the Companies Law.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 after re-evaluation of the arrangement, including in view of the shareholders’ objections.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amendment to an existing arrangement with an office holder who is not the chief executive officer, or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and the company’s compensation policy provides that a non-material amendment to the terms of service of an office holder (other than the chief executive officer) may be approved by the chief executive officer and (ii) the engagement terms are consistent with the company’s compensation policy.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 Under the Companies Law, the compensation of a public company’s chief executive officer is required to be approved by: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compensation committee; (ii) the company’s board of directors, and (iii)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also serves as a member of the board of directors, his or her compensation terms as chief executive officer will be approved in accordance with the rules applicable to approval of compensation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Office 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w:t>
      </w:r>
      <w:r>
        <w:rPr>
          <w:rFonts w:ascii="Times New Roman" w:cs="Times New Roman" w:eastAsia="Times New Roman" w:hAnsi="Times New Roman"/>
          <w:sz w:val="18"/>
          <w:szCs w:val="18"/>
          <w:i w:val="1"/>
          <w:iCs w:val="1"/>
          <w:color w:val="auto"/>
        </w:rPr>
        <w:t xml:space="preserve">“Management—Executive officers and directors” </w:t>
      </w:r>
      <w:r>
        <w:rPr>
          <w:rFonts w:ascii="Times New Roman" w:cs="Times New Roman" w:eastAsia="Times New Roman" w:hAnsi="Times New Roman"/>
          <w:sz w:val="18"/>
          <w:szCs w:val="18"/>
          <w:color w:val="auto"/>
        </w:rPr>
        <w:t>is an office holder under the Companies Law.</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of an office holder includes a duty to use reasonable means, in light of the circumstances, to obtain:</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business advisability of a given action brought for his or her approval or performed by him or her by virtue of his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such action.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duty of loyalty of an office holder requires an office holder to act in good faith and for the benefit of the company, and includes a duty to:</w:t>
      </w:r>
    </w:p>
    <w:p>
      <w:pPr>
        <w:spacing w:after="0" w:line="225"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or her duties in the company and the performance of his or her other duties or personal affairs;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action that is competitive with the company’s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 or herself or others;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has received due to his or her position as an office holder.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approve an act specified above which would otherwise constitute a breach of an office holder’s duty of loyalty, provided that the office holder acted in good faith, neither the act nor its approval harms the company and the office holder discloses his or her personal interest a sufficient time before the approval of such act. Any such approval is subject to the terms of the Companies Law setting forth, among other things, the appropriate bodies of the company required to provide such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Shareholders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Law, a shareholder has a duty to refrain from abusing his or her power in the company and to act in good faith and in a customary manner toward the company and other shareholders in exercising his or her rights and performing his or her obligations, including, among other things, in voting at general meetings of shareholders (and at shareholder class meetings) on the following matters:</w:t>
      </w:r>
    </w:p>
    <w:p>
      <w:pPr>
        <w:spacing w:after="0" w:line="17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articles of association;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authorized share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related-party transactions that require shareholder approval.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shareholder also has a general duty to refrain from discriminating against other shareholders.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shareholders also have a duty of fairness toward the company. These shareholders include any controlling shareholder, any shareholder who knows that he or she has the power to determine the outcome of a shareholder vote and any shareholder who has the power to appoint or prevent the appointment of an office holder of the company or any other power towards the company under the company’s articles of association. The Companies Law does not define the substance of the duty of fairness, except to state that the remedies generally available upon a breach of contract will also apply in the event of a breach of the duty of fairness.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197 employees, of which 114 employees are based in Israel, 52 employees are based in the United States, 28 employees are based in Korea and the balance in other areas. We have never experienced any employment-related work stoppages and believe our relationship with our employees is good. The following table sets out our total number of employees by function for the last three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Area of Activity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shareholder value and the success of our company by motivating such individuals to perform to the best of their abilities and achieve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the beneficial ownership of our ordinary shares by our directors and executive officers, see “Item 7. Major Shareholders and Related Party Transactions—A. Major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April 27, 2026 by:</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outstanding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In determining beneficial ownership percentages, we deem ordinary shares that a shareholder has the right to acquire, including the ordinary shares issuable pursuant to options or warrants that are currently exercisable or exercisable or RSUs that vest within 60 days of April 27, 2026, if any, to be outstanding and to be beneficially owned by the person with such right to acquire additional ordinary shares for the purposes of computing the percentage ownership of that person, but we do not treat them as outstanding for the purpose of computing the percentage ownership of any other person. The percentage of ordinary shares beneficially owned is based on 69,590,228 ordinary shares outstanding as of December 31, 2025.</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 knowledge of any corporation or other natural or legal person owning a significant interest in the Company.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shareholders have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noted below, the address for each beneficial owner is c/o Ofer Tech Park, 94 Shlomo Shmeltzer Road, Petach Tikva, Israel 4970602.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37"/>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432"/>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Meltzer(1)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474,776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Daniel (2)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89,346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Dara (3)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Ofir Koren (4)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169,892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Tamar Aharon Cohen (5)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Gali Yahav Attias (6)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68,722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Marina Gofman Feler (7)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62,187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Saban (8)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Meltzer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474,776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Noga Kainan (9)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76,757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Suesskind (10)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75,693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Erez Alroy (11)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Jackman (12)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Nehama Ronen (13)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(15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1,446,649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98" w:lineRule="exact"/>
        <w:rPr>
          <w:sz w:val="20"/>
          <w:szCs w:val="20"/>
          <w:color w:val="auto"/>
        </w:rPr>
      </w:pPr>
    </w:p>
    <w:p>
      <w:pPr>
        <w:ind w:left="460" w:hanging="331"/>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less than 1% of outstanding ordinary shares.</w:t>
      </w:r>
    </w:p>
    <w:p>
      <w:pPr>
        <w:spacing w:after="0" w:line="225" w:lineRule="exact"/>
        <w:rPr>
          <w:sz w:val="20"/>
          <w:szCs w:val="20"/>
          <w:color w:val="auto"/>
        </w:rPr>
      </w:pPr>
    </w:p>
    <w:p>
      <w:pPr>
        <w:ind w:left="380" w:hanging="318"/>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60,584 ordinary shares, and (ii) options to purchase 414,192 ordinary shares exercisable within 60 days of April 27, 2026.</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6,950 ordinary shares, and (ii) options to purchase 82,396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174,618 ordinary shares currently exercisable or exercisable within 60 days of April 27, 2026.</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20,000 ordinary shares, and (ii) options to purchase 149,892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20,000 ordinary shares, and (ii) options to purchase 98,868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20,000 ordinary shares, and (ii) options to purchase 35,020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20,000 ordinary shares, and (ii) options to purchase 42,187 ordinary shares currently exercisable or exercisable within 60 days of April 27,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ind w:left="380" w:hanging="318"/>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13,958 ordinary shares currently exercisable or exercisable within 60 days of April 27, 2026.</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5,502 ordinary shares, and (ii) options to purchase 71,255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4,708 ordinary shares and (ii) options to purchase 71,255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4,708 ordinary shares and (ii) options to purchase 55,521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4,709 ordinary shares and (ii) options to purchase 19,624 ordinary shares currently exercisable or exercisable within 60 days of April 27, 2026.</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4,708 ordinary shares and (ii) options to purchase 32,292 ordinary shares currently exercisable or exercisable within 60 days of April 27, 2026.</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according to the records of Continental Stock Transfer &amp; Trust Co., approximately 204,897 (or 0.3%) of our outstanding ordinary shares are held by 10 record holders in the United States, not including Cede &amp; Co., the nominee of the Depository Trust Company, in whose name all shares held in “street name” are held in the United States.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2023, to which we were or are a party and in which the other parties included or include our directors, executive officers, holders of more than 5% of our voting securities or any member of the immediate family of any of the foregoing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SKT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17, 2019, Nanox Gibraltar entered into a Strategic Share Purchase Agreement with SK Telecom TMT Investment Corp. (“SKT”), Pureun Partners Asset Management Co., Ltd. and EBEST-PPAM Fund No. 9 (collectively, the “SKT Entities”), pursuant to which Nanox Gibraltar sold 2,607,466 ordinary shares to the SKT Entities for an aggregate purchase price of approximately $5.0 million. In connection with such transaction, Nanox Gibraltar also issued a warrant to SKT to acquire 2,262,443 ordinary shares at an exercise price of $20.87 per share (the “Warrant”).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described above, Nanox Gibraltar also entered into an investor rights agreement with the SKT Entities (the “Investor Rights Agreement”). The agreement provides for the rights to nominate a member of our board of directors, as well as certain registration rights. The rights under the Investor Rights Agreement terminated upon the closing of our initial public offering. The SKT Entities became parties to the Registration Rights Agreement prior to the closing of our initial public offering, which has expired. See below “—Registration Rights Agreements” for detailed description of the registration rights.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4, 2020, we entered into a Share Purchase Agreement with SKT, pursuant to which we sold 1,250,000 ordinary shares to SKT for an aggregate purchase price of $20.0 million. In connection with such agreement, we amended the Warrant to extend the exercise period to the earlier of June 17, 2025 or an exit event, which event does not include an initial public offering, and we amended the Investor Rights Agreement which granted SKT the right to appoint Mr. Jung Ho Park (or another person designated by SKT) as a director for a term of three years. In addition, we granted Mr. Park options to purchase 100,000 of our ordinary shares, vesting in equal quarterly installments over a period of four years, at an exercise price of $16.00 per ordinary share. In the event that SKT nominates any replacement director, any such director may receive options with the same terms, but the aggregate number of options granted to all such directors together shall not exceed 100,000. Mr. Park resigned from our Board of Directors in December 2021, at which time his unvested options to purchase 68,750 ordinary shares expired, and new options to purchase the same number of ordinary shares (i.e., 68,750 shares) were granted to Ms. So Young Shin, a successor director appointed by SKT in May 2022, who served on our board of directors until she resigned on July 24,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on June 4, 2020, we entered into a collaboration agreement with SK Telecom Co., Ltd. (“SK Telecom”), pursuant to which we and SK Telecom continue to explore and engage in good faith to develop a definitive agreement for the deployment of 2,500 Nanox Systems in South Korea and Vietnam. With the support of SK Telecom we established a wholly-owned subsidiary in South Korea, which in turn established our fabrication facility in Korea for the manufacturing of MEMs X-ray chips for the Nanox.ARC. The collaboration agreement expired on December 31, 2021.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signed an agreement with Dr. Ilung Kim, who previously served as President of SK Telecom, dated December 16, 2019, for the provision of consulting services to us. Under the agreement, we granted Dr. Kim options to purchase 1,206,290 of our ordinary shares at an exercise price of $2.21 per ordinary share, of which options to purchase 150,000 ordinary shares were exercised and the remaining options are fully vested. The vested options are exercisable until the earlier of (a) the second anniversary of termination of the engagement between us and Dr. Kim or (b) the tenth anniversary from the date of grant. Effective as of July 1, 2021, the consulting agreement was replaced by an employment agreement with Dr. Kim in connection with appointment as the chief executive officer of our Korean subsidiary.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previously entered into directorship agreements with certain of our directors in connection with their initial nomination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grant options to purchase our ordinary shares and/or restricted share units (“RSUs”) to our executive officers and directors. On December 10, 2024, our shareholders approved an award of restricted share units to our non-executive directors. For more information, see Notice and Proxy Statement for the Annual General Meeting of the Shareholders, filed as exhibit 99.1 to the Company’s form 6-K, on October 29, 2024. For a description of our equity incentive plan, see “Item 6. Directors, Senior Management and Employees—B. Compensation—Equity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 Insurance Policy and Indemnification and Exculpation Agreements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permit us to exculpate, indemnify and insure each of our directors and officers to the fullest extent permitted by the Companies Law. We have obtained directors’ and officers’ liability insurance which covers each of our executive officers and directors.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each of our current directors and officers exculpating them from a breach of their duty of care to us to the fullest extent permitted by law and undertaking to indemnify them to the fullest extent permitted by law, including with respect to liabilities resulting from our initial public offering, to the extent that these liabilities are not covered by insurance, all subject to limited exceptions. Indemnification for any monetary liability incurred by or imposed on a director or officer in favor of a third party is limited to certain events that were determined as foreseeable by the board of directors based on our current or expected activities. The maximum aggregate amount of indemnification that we may pay to our directors and officers based on such indemnification agreements shall not exceed the greater of (i) in relation to indemnity in connection with an offering to the public of our securities, the aggregate amount of proceeds from the sale by us and/or any of our shareholders in connection with such public offering, (ii) 25% of our total shareholders’ equity pursuant to our most recent financial statements as of the time of the actual payment of indemnification, and (iii) $50 million (in each case as may be increased from time to time by shareholders’ approval). Such indemnification amounts are in addition to any insurance amounts.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in the opinion of the SEC, indemnification of office holders for liabilities arising under the Securities Act is against public policy and therefore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 registration rights agreement (the “Registration Rights Agreement”) that entitled certain holders of our ordinary shares and other securities convertible into or exchangeable for ordinary shares, including SK Square Americas, Inc. (formerly known as SK Telecom TMT Investment Corp.), to certain piggyback registration rights. The Registration Rights Agreement is no longer in effect. See “Item 10. Additional Information —C. Material Contracts—Registration Rights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Financial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we anticipate that, for the foreseeable future, we will retain any future earnings to support operations and to finance the growth and development of our business. Therefore, we do not expect to pay cash dividends for at least the next several years.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distribution of dividends may also be limited by the Companies Law, which permits the distribution of dividends only out of retained earnings or earnings derived over the two most recent fiscal years, whichever is higher, provided that there is no reasonable concern that payment of a dividend will prevent a company from satisfying its existing and foreseeable obligations as they become due. In the event that we do not have retained earnings or earnings generated over the two most recent years legally available for distribution, we must seek the approval of the court in order to distribute a dividend, and the court may approve our request if it is convinced that there is no reasonable concern that the payment of a dividend will prevent us from satisfying our existing and foreseeable obligations as they become due. Our amended and restated articles of association provide that dividends will be paid at the discretion of, and upon resolution by, our board of directors, subject to the provision of the Companies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on Form 20-F, we have not experienced any significant changes since the date of our audited consolidated financial statements included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ordinary shares have been listed on the NASDAQ Global Market since August 20, 2020 under the symbol “NNOX.”</w:t>
      </w:r>
    </w:p>
    <w:p>
      <w:pPr>
        <w:spacing w:after="0" w:line="221"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7"/>
          <w:szCs w:val="17"/>
          <w:b w:val="1"/>
          <w:bCs w:val="1"/>
          <w:color w:val="auto"/>
        </w:rPr>
        <w:t>B. Plan of Distribution</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ordinary shares have been listed on the NASDAQ Global Market since August 20, 2020 under the symbol “NNOX.”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copy of our amended and restated articles of association is attached as Exhibit 1.1 to this Annual Report. Our registration number with the Israeli Registrar of Companies is 515942076. Our registration number may be changed by the Israeli Registrar of Companies to indicate that we are a public company. The following are summaries of material provisions of our current amended and restated articles of association that became effective immediately prior to the completion of our initial public offering in August 2020, insofar as they relate to the material terms of our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purpose as set forth in our amended and restated articles of association is to engage in any lawful activity.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Companies Law and our amended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69,590,228 ordinary shares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ordinary shares.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See “Item 8. Financial Information—A. Consolidated Statements and Other Financial Information—Dividend Policy” for more information with respect to the requirements under Israeli law for the declaration and payment of dividends to our shareholders.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ordinary shares have identical voting and other rights in all respects.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our ordinary shares have one vote for each ordinary share held on all matters submitted to a vote before the shareholders at a general meeting.</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In any meeting of shareholders, we will follow the quorum requirements for general meetings as set forth in our amended and restated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association, instead of one-third of the issued share capital as required under the Nasdaq Marketplace Rules. Pursuant to our amended and restated articles of association, the quorum required for our general meetings of shareholders will consist of at least two shareholders present in person or by proxy (including by voting deed) and holding shares conferring in the aggregate at least 25% of the voting power of the Company.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subject to a limited exception, any number of shareholders present in person or by proxy shall constitute a lawful quorum.</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Vote requirements. </w:t>
      </w: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attaching to the ordinary shares cast at a meeting, while a special resolution requires the affirmative vote of no less than two-thirds of the votes attaching to the ordinary shares cast at a meeting. Under our amended and restated articles of association, a special resolution is required for the removal of a director from office and the appointment of a director in place of the director so removed, and to amend the provisions in our articles of association relating to the appointment and removal of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and other payments due as per applicable law,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Ordinary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subject to applicable law, issue redeemable shares or other securities and redeem the same with such terms and conditions as the board of directors may deem 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Rights of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 in addition to the ordinary majority vote of all classes of voting shares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upon a resolution of the shareholders at a general meeting, from time to time, increase our share capital by the creation of new shares. Any such increase shall be in such amount and shall be divided into shares of such nominal amounts or without nominal amounts, and such shares shall confer such rights and preferences, and shall be subject to such restrictions, as the resolution approving the creation of such shares shall provide. Except to the extent otherwise provided in the resolution creating such new shares, such new shares shall be subject to all the provisions applicable to the shares of the original capital. Without prejudice to any special rights previously conferred upon the holders of existing shares in the Company, the Company may, from time to time, provide for shares with such preferred or deferred rights or rights of redemption or other special rights and/or such restrictions, whether in regard to dividends, voting, repayment of share capital or otherwise, as may be stipulated in the resolution pursuant to which such shares are created.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Corporate Records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generally have the right to review minutes of our general meetings, our shareholders register and material shareholders register, our amended and restated articles of association, our annual audited financial statements and any document that we are required by law to file publicly with the Israeli Registrar of Companies or the Israel Securities Authority. In addition, any shareholder who specifies the purpose of their request may request to review any document related to an action or transaction requiring shareholder approval under the related party transaction provisions of the Companies Law. We may deny this request if we believe it has not been made in good faith or if such denial is necessary to protect our interests or protect a trade secret or patent.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under Israeli Law</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Full Tender Offer</w:t>
      </w:r>
      <w:r>
        <w:rPr>
          <w:rFonts w:ascii="Times New Roman" w:cs="Times New Roman" w:eastAsia="Times New Roman" w:hAnsi="Times New Roman"/>
          <w:sz w:val="18"/>
          <w:szCs w:val="18"/>
          <w:color w:val="auto"/>
        </w:rPr>
        <w:t>. A person wishing to acquire shares of an Israeli public company and who would as a result hold over 90% of the target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or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voting rights or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full tender offer was not accepted in accordance with the above alternatives, the acquirer may not acquire shares of the company that will increase its holdings to more than 90% of the company’s voting rights or issued and outstanding share capital or of the applicable class from shareholders who accepted the tender offer.</w:t>
      </w:r>
    </w:p>
    <w:p>
      <w:pPr>
        <w:spacing w:after="0" w:line="17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Special Tender Offer</w:t>
      </w:r>
      <w:r>
        <w:rPr>
          <w:rFonts w:ascii="Times New Roman" w:cs="Times New Roman" w:eastAsia="Times New Roman" w:hAnsi="Times New Roman"/>
          <w:sz w:val="18"/>
          <w:szCs w:val="18"/>
          <w:color w:val="auto"/>
        </w:rPr>
        <w:t>. The Companies Law provides that an acquisition of shares of an Israeli public company must be made by means of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offer if as a result of the acquisition the purchaser would become a holder of 25% or more of the voting rights in the company (subject to certain exceptions).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 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by shareholders who accept the offer exceeds the number of shares whose holders objected to the offer (excluding the purchaser and its controlling shareholders,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(i) shareholders who did not respond to or that had objected to the offer may accept the offer within four days of the last date set for the acceptance of the offer and they will be considered to have accepted the offer from the first day it was made, and (ii)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Shares purchased in contradiction to the tender offer rules under the Companies Law, as described above, will have no rights and will become dormant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Companies Law permits merger transactions if approved by each party’s board of directors and, unless certain requirements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Companies Law are met, by a majority vote of each party’s shares, and, in the case of the target company, a majority vote of each class of its shares voted on the proposed merger at a shareholders meeting.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Under the Companies Law, each merging company must deliver the merger proposal to its secured creditors and inform its unsecured creditors of the merger proposal and its content.</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target company.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 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represented at a general meeting. The convening of the meeting, the shareholders entitled to participate and the majority vote required to be obtained at such a meeting will be subject to the requirements set forth in the Companies Law and our amended articles of association as described above under “—Voting Rights.” In addition, we have a classified board structure, which will effectively limit the ability of any investor or potential investor or group of investors or potential investors to gain control of our board of directors, as disclosed under “Item 6. Directors, Senior Management and Employees—C. Board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Israeli law, one or more shareholders holding at least 1% of the voting rights at the general meeting may request that the board of directors include a matter on the agenda of a general meeting to be convened in the future, provided that it is appropriate to discuss such a matter at the general meeting. Our amended and restated articles of association contain procedural guidelines and disclosure items with respect to the submission of shareholder proposals for shareholder meetings.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9" w:name="page150"/>
    <w:bookmarkEnd w:id="149"/>
    <w:p>
      <w:pPr>
        <w:ind w:left="340"/>
        <w:spacing w:after="0"/>
        <w:rPr>
          <w:sz w:val="20"/>
          <w:szCs w:val="20"/>
          <w:color w:val="auto"/>
        </w:rPr>
      </w:pPr>
      <w:r>
        <w:rPr>
          <w:rFonts w:ascii="Times New Roman" w:cs="Times New Roman" w:eastAsia="Times New Roman" w:hAnsi="Times New Roman"/>
          <w:sz w:val="18"/>
          <w:szCs w:val="18"/>
          <w:color w:val="auto"/>
        </w:rPr>
        <w:t>Under the Companies Law, resolutions regarding the following matters must be passed at a general meeting of shareholders:</w:t>
      </w:r>
    </w:p>
    <w:p>
      <w:pPr>
        <w:spacing w:after="0" w:line="225" w:lineRule="exact"/>
        <w:rPr>
          <w:sz w:val="20"/>
          <w:szCs w:val="20"/>
          <w:color w:val="auto"/>
        </w:rPr>
      </w:pPr>
    </w:p>
    <w:p>
      <w:pPr>
        <w:ind w:left="660" w:hanging="328"/>
        <w:spacing w:after="0"/>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company’s articles of association;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fees or termination of the auditors, if the shareholders have not delegated their authority to set the fees for the auditors to the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related-party transactions requiring general meeting approval pursuant to the provisions of the Companies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the company’s authorized share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(as such term is defined in the Companies Law);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board of directors’ powers by a general meeting, if our board of directors is unable to exercise its powers and the exercise of any of its powers is required for our proper management.</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 2021, the Company completed the acquisition of 100% of the shares of USARAD, pursuant to the terms of the Stock Purchase Agreement, dated October 25, 2021, among the Company, USARAD, Dr. Michael Yuz, other holders of capital stock of USARAD, and holders of USARAD options.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3, 2021, the Company completed the acquisition of the platform and other assets of MDWEB, pursuant to the terms of the Asset Purchase Agreement, dated October 21, 2021, between the Company and MDWEB.</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4, 2021, the Company, consummated the merger pursuant to the terms of the Agreement and Plan of Merger, dated August 9, 2021, as amended, among the Company, Zebra (now known as Nanox AI), and Perryllion Ltd., as representative of Zebra’s equity holders.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19, 2025, the Company completed the acquisition of 100% of the shares of Vaso IT (now known as Nanox Health IT), pursuant to the terms of the Vaso SPA, among Nanox Inc., Vaso IT, and Vaso Corp.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details regarding these agreements, see “Item 4. Information on the Company—A. History and Development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Agreements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December 2024, we entered into a development and purchase agreement with SKAN-X Radiology Devices SRL (“CEI”), an Italian manufacturer of X-ray tubes. Under the agreement, CEI will manufacture X-ray tubes using semiconductor chips provided by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2025, we entered into a volume supply agreement with Fabrinet, a provider of contract product manufacturing and engineering services to original equipment manufacturers of optical components, modules and subsystems, industrial lasers, and sensors. Under the agreement, Fabrinet will manufacture certain of our products and procure materials as directed by us, assemble, test and ship the products, and provide secure storage and insurance for our consigned materials and equipment.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the Registration Rights Agreement with shareholders who held 14,533,835 of our ordinary shares and other securities convertible into or exchangeable for ordinary shares; however, some of these shares have been sold on the market, and the registration rights are no longer applicable. As of the date of this annual report, the Registration Rights Agreement is no longer in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Registration Rights Agreement, and subject to the limitations specified therein, if we register our ordinary shares under the Securities Act for sale to the public, either for our own account or for the account of other security holders or both, the holders of registrable securities are entitled to notice of the intended registration and to include any or all of their registrable securities in the registration. The right of holders of registrable securities to include shares in an underwritten offering is subject to the right of the underwriters to limit the number of shares included in such offering. Holders of registrable securities are generally required to pay all expenses of registration, including the fees and disbursements of its counsel and all underwriting discounts and commissions.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as of March 31, 2024, SK Square Americas, Inc., as a holder of a warrant to purchase an aggregate of 2,262,443 ordinary shares, was entitled to piggyback registration rights under the terms of such warrant substantially similar to the registration rights described in the preceding paragraph. The rights under the Registration Rights Agreement are no longer in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April 30, 2026, there was one outstanding warrant to purchase up to 2,142,858 ordinary shares, with an exercise price of $19.00 per share, issued to a single investor as part of registered direct offering on July 26,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23, 2023, we entered into a securities purchase agreement with a single institutional investor for the purchase and sale of 2,142,858 of the Company’s ordinary shares together with warrants to purchase up to 2,142,858 ordinary shares at a combined purchase price of $14.00 per share, in a registered direct offering. The warrants have an exercise price of $19.00 per share, are exercisable immediately upon issuance and will expire five years from issuance. The closing of the offering occurred on July 26, 2023, and the gross proceeds from the offering were approximately $30 million, excluding any proceeds that may be received upon the exercise of the warrants, before deducting placement agent fees and other offering expenses payable by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7, 2024, we entered into the Sales Agreement with the Agents relating to the issuance and sale from time to time of our ordinary shares. In accordance with the terms of the Sales Agreement, we may offer and sell our ordinary shares having an aggregate offering price of up to $100,000,000 from time to time through the Agents pursuant to the sales agreement. The Agents will be entitled to compensation at a commission rate of up to 2.5% of the aggregate gross proceeds from each sale of ordinary shares. As of December 31, 2025 we have raised $44.9 million under the Sales Agreement.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23, 2025, we entered into a securities purchase agreement with a single institutional investor for the purchase and sale of 3,826,530 of the Company’s ordinary shares at a purchase price of $3.92 per share, in a registered direct offering. The gross proceeds from the offering were approximately $15 million, before deducting placement agent fees and other offering expenses payable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certain countries that have been, or are considered to be, in a state of war with Israel.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 and Government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Israeli resident companies are generally subject to corporate tax on their taxable income, currently at the rate of 23%. Capital gains derived by an Israeli resident company are generally subject to tax at the regular corporate tax rate.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Israeli tax legislation, a corporation will be considered as an “Israeli resident company” if it meets one of the following: (i) it was incorporated in Israel; or (ii) the control and management of its business are exercised in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and Grants for Research and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related to scientific research and development projects in the fields of industry, agriculture, transportation or energy, including capital expenditures, for the year in which they are incurred. Expenditures are deemed related to scientific research and development projects, if:</w:t>
      </w:r>
    </w:p>
    <w:p>
      <w:pPr>
        <w:spacing w:after="0" w:line="176"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is for the promotion of the company and is carried out by or on behalf of the company seeking such tax deduction, or that the expenditure is made by a person that carries out the research and does not own an enterprise which is engaged in the field of research, or that such expenditure constitutes a participation in a research carried out by another person, in both cases, subject to the fulfillment of certain criteria set forth in the Israeli tax law.</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Israeli Income Tax Ordinance (New Version) 1961 (the “Ordinance”). Capital Expenditures for scientific research incurred by a company for the promotion or development of the company, which do not meet the above conditions, are deductible in equal amounts over three years.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apply to the Israeli Innovation Authority (the “IIA”), for approval to allow a tax deduction for research and development expenses during the year incurred. There can be no assurance that such application will be accepted.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Capital Investments, 5719-1959</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(the “Investment Law”), provides certain incentives for capital investments in production facilities (or other eligible assets) by “Industrial Enterprises” (as defined under the Investment Law). The benefits available under the Investment Law are subject to the fulfillment of conditions stipulated therein. If a company does not meet these conditions, it would be required to refund the amount of tax benefits, as adjusted by the Israeli consumer price index, and interest, or other monetary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Under the 2017 Amendment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Investment Law has been amended several times over the recent years, with the three most significant changes effective as of April 1, 2005, to which we refer as the 2005 Amendment, as of January 1, 2011, to which we refer as the 2011 Amendment, and as of January 1, 2017, to which we refer as the 2017 Amendment. The 2017 Amendment provides new tax benefits for two types of “Technology Enterprises”, as described below, and is in addition to the other existing tax benefit programs under the Investment Law.</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may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area “A”. In addition, a Preferred Technology Company will benefit from a reduced corporate tax rate of 12% on capital gain derived from the sale of certain “Benefited Intangible Assets” (as defined in the Investment Law) to a related foreign company if the Benefited Intangible Assets were acquired from a foreign company on or after January 1, 2017, for at least NIS 200 million, and the sale receives prior approval from the IIA.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2017 Amendment further provides that a technology company satisfying certain conditions may qualify as a “Special Preferred Technology Enterprise” and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“Benefited Intangible Assets” to a related foreign company if the Benefited Intangible Assets were either developed by the Special Preferred Technology Enterprise or acquired from a foreign company on or after January 1, 2017, and the sale received prior approval from the IIA. A Special Preferred Technology Enterprise that acquires Benefited Intangible Assets from a foreign company for more than NIS 500 million may be eligible for these benefits for a period of at least ten years, subject to certain approvals as specified in the Investment Law.</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distributed to Israeli Shareholder by a Preferred Technology Enterprise or a Special Preferred Technology Enterprise, paid out of Preferred Technology Income are generally subject to withholding tax at the rate of 20% or such lower rate, as may be provided in an applicable tax treaty (in the case of non-Israeli shareholders, subject to the receipt in advance of a valid certificate from the ITA allowing for a reduced tax rate). If such dividends are paid to an Israeli company, no tax is required to be withheld (although, if such dividends are subsequently distributed to individuals or a non-Israeli company, the aforesaid will apply). If dividends paid out of Preferred Technology Income are distributed to a foreign company that holds solely or together with other foreign companies 90% or more in the Israeli company and other conditions are met, the withholding tax rate will be 4% (or a lower rate under a tax treaty, if applicable, subject to the receipt in advance of a valid certificate from the ITA allowing for a reduced tax rate).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currently not entitled to tax benefits under the 2017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Shareholders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Capital gain tax is imposed on the disposition of capital assets by an Israeli resident for tax purposes, and on the disposition of such assets by a non-Israeli resident for tax purposes if those assets are either (i) located in Israel; (ii) are shares or a right to a share in an Israeli resident corporation, (iii) are shares or a right to a share in a non-Israeli resident company, the majority of whose assets are located in Israel, but only in respect of the portion of the consideration that is attributable to assets located in Israel, or (iv) located outside of Israel which mainly represent, directly or indirectly, rights to assets, property or inventory located in Israel, but only with respect to such portion of the assets that are located in Israel, unless a tax treaty between Israel and the seller’s country of residence provides otherwise. The Ordinance distinguishes between “Real Capital Gain” and the “Inflationary Surplus”. Real Capital Gain is the excess of the total capital gain over Inflationary Surplus computed generally on the basis of the increase in the Israeli consumer price index or, in certain circumstances, a foreign currency exchange rate, between the date of purchase and the date of disposition. The inflationary surplus accumulated from and after December 31, 1993, is exempt from any capital gains tax in Israel while the real gain is taxed at the applicable rate discussed below.</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Real Capital Gain accrued by individuals on the sale of our ordinary shares will be taxed at the rate of 25%. However, if the individual shareholder is a “Controlling Shareholder” (i.e., a person who holds, directly or indirectly, alone or together with such person’s relative or another person who collaborates with such person on a permanent basis based on a contract, 10% or more of one of the Israeli resident company’s “means of control”, which includes, among other things, the right to receive profits of the company, voting rights, the rights to receive proceeds upon the company’s liquidation and the right to appoint a director) at the time of sale or at any time during the preceding 12-month period, such capital gain will be taxed at the rate of 30%. Furthermore, where an individual claimed real interest expenses and linkage differentials in connection with the purchase and holding of such shares, the capital gain on the sale of the securities will taxed at a rate of 30% (exclusive of excess tax described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 Capital Gain derived by corporations will be generally subject to the regular corporate tax rate (23% in 2025).</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Corporate and individual shareholder dealing in securities in Israel may be taxed at the tax rates applicable to business income—23% for corporations in 2025 and a marginal tax rate of up to 47% (in 2025) for individuals, not including Excess Tax (described below). Notwithstanding the foregoing, Real Capital Gain derived from the sale of our ordinary shares by a non-Israeli shareholder (whether an individual or a corporation) may be exempt under the Ordinance from Israeli taxation provided that the following cumulative conditions are met: (i) the shares were purchased upon or after the registration of the shares on a recognized stock exchange, (ii) the seller does not have a permanent establishment maintained in Israel to which the derived capital gain is attributable, (iii) if the seller is a corporation, no more than 25% of its means of control are held, directly and indirectly, alone or together with another by Israeli residents, and (iv) if the seller is a corporation, there is no Israeli resident that is entitled to 25% or more of the revenues or profits of the corporation, directly or indirectly. In addition, such exemption would not be available to a person whose capital gains from selling or otherwise disposing of the securities are deemed to be business income. In addition, this exemption shall not be relevant to the part of the capital gains allocable to the holding period before the shares were listed for trading on the stock exchange (however, such portion might also be exempt from tax in Israel if certain criteria are met).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sale of shares may be exempt from Israeli capital gain tax under the provisions of an applicable tax treaty subject to the eligibility of such person to the treaty benefits. For example, the Convention between the Government of the United States and the Government of the State of Israel with respect to Taxes of Income, as amended, or the U.S.-Israel Double Tax Treaty, generally exempts U.S. residents for the purposes of the treaty holding the shares as a capital asset and are entitled to claim the benefits afforded to such a resident by the U.S.-Israel Double Tax Treaty, from Israeli capital gain tax in connection with such sale, provided (i) the U.S. resident owned, directly or indirectly, less than 10% of the Israeli resident company’s voting power at any time within the 12-month period preceding such sale subject to certain conditions; (ii) the seller, being an individual, is present in Israel for a period or periods of less than 183 days in the aggregate during the relevant taxable year; (iii) the capital gain from the sale was not derived through a permanent establishment of the U.S. resident which is maintained in Israel under certain terms; (iv) the capital gain from the sale is not attributed to real estate located in Israel; and (v) the capital gain from the sale is not attributed to royalties.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some instances where shareholders may be liable for Israeli tax on the sale of their ordinary shares and the payment of the consideration may be subject to withholding of Israeli tax. Shareholders may be required to demonstrate that they are exempt from tax on their capital gains in order to avoid withholding at the time of sale. For example,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a non-Israeli resident, and, in the absence of such declarations or exemptions, may require the purchaser of the shares to withhold taxes.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purchaser, the Israeli stockbrokers or financial institutions through which the shares are held is obligated, subject to the abovementioned exemptions, to withhold tax on the amount of consideration paid upon the sale of the shares (or on the Real Capital Gain on the sale, if known) at the rate of 25% in respect of an individual and 23% in respect of a corporation.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sale of securities traded on a stock exchange, a detailed return, including a computation of the tax due, generally need to be filed and an advanced payment must be paid on January 31 and July 31 of every calendar year in respect of sales of securities made within the previous six months. However, if all tax due was withheld according to applicable provisions of the Ordinance and regulations promulgated thereunder the aforementioned return need not be filed and no advance payment must be paid. Capital gain is also reportable on the annual income tax return.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never paid cash dividends. A distribution of dividends to an Israeli resident individual, will generally be subject to withholding tax at a rate of 25% or 30% if the dividend recipient is a “Controlling Shareholder” (as defined above) at the time of distribution or at any time during the preceding 12-month period and the shares are not held through a nominee company. If the income out of which the dividend is being paid is attributable to a Preferred Enterprise or Preferred Technology Enterprise under the Investment Law, the rate is generally not more than 20%. If the recipient of the dividend is an Israeli resident corporation, such dividend will be exempt from income tax provided the income from which such dividend is distributed was derived or accrued within Israel (although, if such dividends are subsequently distributed to non-Israeli individuals or a non-Israeli company, withholding tax at a rate of 25% (or 30% if the dividend recipient is a “Controlling Shareholder” (as defined above)) or such lower rate as may be provided if an applicable tax treaty will apply (subject to the receipt in advance of a valid tax certificate from the ITA allowing for a reduced tax rate)).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non-Israeli resident (either individual or corporation) is generally subject to Israeli withholding tax on the receipt of dividends at the rate of 25% (30% if the dividends recipient is a “Controlling Shareholder” (as defined above), at the time of distribution or at any time during the preceding 12-month period and the shares are not held through a nominee company); those rates are subject to a reduced tax rate under the provisions of an applicable double tax treaty (subject to the receipt in advance of a valid certificate from the ITA allowing for a reduced tax rate). Under the U.S.-Israel Double Tax Treaty, the following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voting shares of the Israeli resident paying corporation and not more than 25% of the gross income of the Israeli resident paying corporation for such prior taxable year (if any) consists of certain type of interest or dividends—the maximum tax rate is 12.5%, (ii) if both the conditions mentioned in (i) above are met and the dividend is paid from an Israeli resident company’s income which was entitled to a reduced tax rate applicable to an Approved Enterprise, Benefited Enterprise, Preferred Enterprise or Preferred Technology Enterprise —the tax rate is 15% if a certificate for a reduced withholding tax rate would be provided in advance from the ITA and (iii) in all other cases, the tax rate is 25%. The aforementioned rates under the U.S.-Israel Double Tax Treaty will not apply if the dividend income was derived through a permanent establishment of the U.S. resident maintained in Israel.</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with respect to such income, provided that (i) such income was not generated from business conducted in Israel by the taxpayer, (ii) in the case of individuals, the non-Israeli resident is not subject to Excess Tax in Israel, and; (iii) the taxpayer has no other taxable sources of income in Israel with respect to which a tax return is required to be filed.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i w:val="1"/>
          <w:iCs w:val="1"/>
          <w:color w:val="auto"/>
        </w:rPr>
        <w:t>Excess Tax</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Individuals who are subject to tax in Israel (whether such individual is an Israeli resident or non-Israeli resident) are also subject to an additional tax on annual income exceeding a certain threshold (NIS 721,560 for 2025), including, but not limited to, income derived from dividends, interest and capital gains. The threshold is generally linked to the annual change in the Israeli consumer price index (with the exception that based on Israeli new legislation such amount, and certain other statutory amounts will not be linked to the Israeli consumer price index for the years 2025-2027). According to new legislation effective as of January 1, 2025, an additional 2% excess tax will be imposed on Capital-Sourced Income (defined as income from any source other than employment income, business income, or income from “personal effort”), provided that the Individual’s Capital Sourced Income exceeds the specified threshold of NIS 721,560. This new excess tax applies, among other things, to income from capital gains, dividends, interest, rental income, or the sale of real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Israeli law presently does not impose estate tax or in general gift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This summary applies only to investors that are U.S. Holders (as defined below) that hold our ordinary shares as “capital assets” (generally, property held for investment) under the U.S. Internal Revenue Code of 1986, as amended (the “Code”). This discussion is based upon U.S. federal tax law as in effect on the date of this annual report on Form 20-F and on U.S. Treasury regulations in effect or, in some cases, proposed, as of the date of this annual report on Form 20-F, as well as judicial and administrative interpretations thereof available on or before such date. All of the foregoing authorities are subject to differing interpretations or change, possibly with retroactive effect and could affect the tax considerations described below. No ruling has been sought from the Internal Revenue Service, or the IRS, with respect to any U.S. federal income tax considerations described below, and there can be no assurance that the IRS will not assert, or that court will not sustain a contrary position. This discussion, moreover, does not address the U.S. federal estate, gift, alternative minimum tax considerations, the Medicare tax on certain net investment income, any withholding or information reporting requirements, or any state, local and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90"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our ordinary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our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in connection with a trade or business outside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 or persons holding our ordinary shares through such entities, all of whom may be subject to tax rules that differ significantly from those discussed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149" w:gutter="0" w:footer="0" w:header="0"/>
        </w:sectPr>
      </w:pPr>
    </w:p>
    <w:bookmarkStart w:id="155" w:name="page156"/>
    <w:bookmarkEnd w:id="155"/>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Investors should consult their tax advisors about the application of the U.S. federal income tax rules to their particular circumstances as well as the state, local, non-U.S. and other tax consequences to them of the ownership and disposition of our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should consult their tax advisors regarding the ownership and disposition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cash distributions (including the amount of any Israeli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ordinary shares will not be eligible for the dividends received deduction allowed to corporations in respect of dividends received from U.S. corporations.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at the lower capital gains tax rate applicable to “qualified dividend income,” provided that certain conditions are satisfied, including that (1) the ordinary shares on which the dividends are paid are readily tradable on an established securities market in the United States, or we are eligible for the benefit of the U.S.-Israel Double Tax Treaty, (2) we are neither classified as a PFIC nor treated as such with respect to a U.S. Holder (as discussed below) for the taxable year in which the dividend is paid or the preceding taxable year, and (3) certain holding period and other requirements are met. Our ordinary shares are listed and traded on the Nasdaq Global Market. Thus, we believe that our ordinary shares will generally be considered to be readily tradable on an established securities market in the United States. There can be no assurance that the ordinary shares will continue to be considered readily tradable on an established securities market in later years. U.S. Holders should consult their tax advisors regarding the availability of the lower rate for dividends paid with respect to our ordinary shares.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U.S. foreign tax credit purposes, dividends received on our ordinary shares will generally be treated as income from foreign sources and will generally constitute passive category income. A U.S. Holder may be subject to Israeli withholding taxes on dividends paid on our ordinary shares. See “— Israeli Tax Considerations and Government Programs—Taxation of Our Shareholders—Dividends.” Subject to certain conditions and limitations, a U.S. Holder eligible under the U.S.-Israel Double Tax Treaty may be eligible to claim a foreign tax credit in respect of any Israeli income taxes paid or withheld with respect to dividends on our ordinary shares to the extent such taxes are nonrefundable under the U.S.-Israel Double Tax Treaty. Alternatively,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paid or accrued in the relevant taxable year. The rules governing the foreign tax credit are complex and each U.S. Holder should consult its tax advisor regarding the availability of the foreign tax credit under its particular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our ordinary shares in an amount equal to the difference between the amount realized upon the disposition and the U.S. Holder’s adjusted tax basis in such ordinary shares. The gain or loss will generally be capital gain or loss and individuals and other non-corporate U.S. Holders who have held the ordinary shares for more than one year will generally be eligible for reduced tax rates. The deductibility of a capital loss may be subject to limitations. Any such gain that the U.S. Holder recognizes may be subject to Israeli income tax and will generally be U.S. source gain, which may limit a U.S. Holder’s ability to claim a foreign tax credit for any such Israeli income tax imposed on such gain. U.S. Holders that are eligible for the benefits of the U.S.-Israel Double Tax Treaty may apply the U.S.-Israel Double Tax Treaty to treat such gain as exempt from Israeli tax, provided certain requirements are met. If a U.S. Holder is not eligible for the benefits of the U.S.-Israel Double Tax Treaty or does not elect to apply the U.S.-Israel Double Tax Treaty, then such holder may not be able to claim a foreign tax credit arising from any Israeli tax imposed on the sale or other disposition of our ordinary shares. The rules regarding foreign tax credits and the deductibility of foreign taxes are complex. U.S. Holders should consult their tax advisors regarding the availability of a foreign tax credit or deduction in light of their particular circumstances, including their eligibility for benefits under the U.S.-Israel Double Tax Treaty.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generally classified as passive assets and goodwill and other unbooked intangibles associated with active business activities may generally be classified as non-passive assets. Passive income generally includes, among other things, dividends, interest, royalties and rents (other than certain royalties and rents derived in the active conduct of a trade or business and not derived from a related person),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Whether we are, or will be, classified as a PFIC is a factual determination made annually that will depend, in part, upon the composition of our income and assets.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may technically be classified as a PFIC for the taxable year ended December 31, 2025. Depending upon the composition of our income and assets and the market price of our ordinary shares during 2026 and subsequent taxable years and whether we start generating a substantial amount of active revenue, we could continue to be classified as a PFIC for 2026 and subsequent taxable years if we are classified as a PFIC for 2025. Accordingly, U.S. Holders of our ordinary shares should be willing to assume the risks of investing in a PFIC.</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because there are uncertainties in the application of the relevant rules, it is possible that the IRS may challenge our classification of certain income or assets as non-passive, or our valuation of our goodwill and other unbooked intangibles, each of which may increase the likelihood of us becoming classified as a PFIC for the current or subsequent taxable years.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of our ordinary shares. In addition, dividends paid in respect of our ordinary shares would not be eligible for the lower tax rate described under “—Dividends” above.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PFIC rules:</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of the excess distribution, sale or other disposition and to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on the tax attributable to each prior taxable year, other than a pre-PFIC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we generally will continue to be treated as a PFIC with respect to such U.S. Holder for all succeeding years during which the holder holds our ordinary shares. However, if we cease to meet the threshold requirements for PFIC status, provided that the U.S. Holder has not made a mark-to-market election, as described below, such holder may avoid some of the adverse effects of the PFIC regime by making a “deemed sale” election with respect to our ordinary shares held by such U.S. Holder. If such election is made, the U.S. Holder will be deemed to have sold our ordinary shares it holds on the last day of the last taxable year in which we were classified as a PFIC at their fair market value and any gain from such deemed sale will be taxed under the PFIC rules described above. After the deemed sale election, so long as we do not become classified as a PFIC in a subsequent taxable year, the ordinary shares with respect to which such election was made will not be treated as shares in a PFIC and the U.S. Holder will not be subject to the PFIC rules described above with respect to any “excess distribution” received from us or any gain from an actual sale or other disposition of the ordinary shares. The rules dealing with deemed sale elections are very complex. U.S. Holders of our ordinary shares should consult their tax advisors as to the possibility and consequences of making a deemed sale election if we cease to be classified as a PFIC and such election becomes available to such holders.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any subsidiary we own is also classified as a PFIC, such U.S. Holder would be treated as owning a proportionate amount (by value) of the shares of the lower-tier PFIC for purposes of the application of these rules. As a result, such U.S. Holder may incur liability for the deferred tax and interest charge described above if either (1) we receive any excess distribution from, or dispose of all or part of our interest in, the lower-tier PFIC or (2) the U.S. Holder disposes of all or part of our ordinary shares. It is possible that any subsidiary we own would be a PFIC for the current taxable year or future taxable years. U.S. Holders should consult their tax advisors regarding the application of the PFIC rules to any subsidiary we own.</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ordinary shares, the holder will generally (i) include as ordinary income for each taxable year that we are classified as a PFIC the excess, if any, of the fair market value of the ordinary shares held at the end of the taxable year over the adjusted tax basis of such ordinary shares and (ii) deduct as an ordinary loss in each such taxable year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our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ordinary shares in a year when we are classified as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regularly traded on a qualified exchange or other market, as defined in applicable U.S. Treasury regulations. Our ordinary shares are listed on the Nasdaq Global Market and should be treated as regularly traded for purposes of the mark-to-market rules. While we anticipate that our ordinary shares will continue to qualify as being regularly traded, no assurances may be given in this regard. If any subsidiary we own is, or becomes, classified as a PFIC, the mark-to-market election will likely not be available with respect to the shares of such subsidiary that are treated as owned by a U.S. Holder. Consequently, a U.S. Holder could be subject to the PFIC rules with respect to income of a lower-tier PFIC the value of which had already been taken into account indirectly via mark-to-market adjustments. U.S. Holders should consult their tax advisors as to the availability and desirability of a mark-to-market election, as well as the impact of such election on interests in any lower-tier PFIC.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Alternatively, a U.S. shareholder of a PFIC may avoid the PFIC tax consequences described above in respect of its shares of PFIC stock by making a timely “qualified electing fund,” or QEF, election. To comply with the requirements of a QEF election, such shareholder must receive certain information from the PFIC. Because we do not intend to provide information necessary for U.S. Holders to make QEF elections, such election will not be available to U.S. Holders of our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classified as a PFIC, the holder must generally file an annual IRS Form 8621 regarding distributions received on, and any gain realized on the disposition of, our ordinary shares. U.S. Holders should consult their tax advisor regarding our PFIC status and the U.S. federal income tax consequences of owning and disposing of our ordinary shares if we are, or become, classified as a PFIC, including the possibility of making a mark-to-market or deemed sale election.</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summary of U.S. federal income tax consequences set out above is for general informational purposes only. Investors should consult their tax advisors about the application of the U.S. federal income tax rules to their particular circumstances as well as the state, local, non-U.S. and other tax consequences to them of the ownership and disposition of our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allowed by the SEC, in Item 19 of this annual report on Form 20-F, we incorporate by reference certain information and documents we previously filed with the SEC. This means that we can disclose important information to you by referring you to another document filed separately with the SEC. The information incorporated by reference is considered to be part of this annual report on Form 20-F.</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The SEC maintains a website at http://www.sec.gov that contains reports and other information regarding registrants that file electronically with the SEC. Our annual report on Form 20-F and other information submitted by us to the SEC may be accessed through this website.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related to the furnishing and content of proxy statements. Section 8103 of the National Defense Authorization Act for Fiscal Year 2026, named the “Holding Foreign Insiders Accountable Act”, which was signed into law on December 18, 2025, requires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with respect to their purchases and sales of ordinary shares.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four months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 for the first three quarters of each fiscal year.</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http://www.nanox.vision. In accordance with NASDAQ Stock Market Rule 5250(d), we will post this annual report on Form 20-F on our website. Information contained on our website is not incorporated by reference into this annual report on Form 20-F. In addition, we will provide hardcopies of our annual report on Form 20-F free of charge to shareholders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Item 11. Qualitative and Quantitative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equivalents consisting primarily of U.S. dollar bank money market accounts and deposits. Our primary exposure to market risk is interest income sensitivity, which is affected by changes in the general level of U.S. interest rates. Consequently, changes in market interest rates would not have a material impact on our financial position or results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an outstanding short-term loan of $3.1 million that was provided to Nanox Korea and approximates its carrying value since it bears interest at a rate close to the prevailing market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Inflation-related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the rate of inflation in Israel has had a material impact on our business to date, however, our costs in Israel will increase if the inflation rate in Israel exceeds the devaluation of the NIS against the U.S. dollar or if the timing of such devaluation lags behind inflation in Israel. Similarly, our costs in Korea will increase if the inflation rate in Korea exceeds the devaluation of the KRW against the U.S. dollar or if the timing of such devaluation lags behind inflation in Korea.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and reporting currency. However, a portion of our operating expenses, including personnel and facilities related expenses, are incurred in NIS and KRW. As a result, our statements of operations and cash flows could be adversely affected in the future due to changes in foreign exchange rates. If the NIS and KRW appreciate relative to the U.S. dollar, the dollar cost of our operations in Israel or Korea would increase, respectively, and our dollar-denominated results of operations would be adversely affected. However, as we have cash and cash equivalents denominated in U.S. dollars, we believe that changes in foreign currency exchange rates would not have a material impact on our financial position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25, 2020, we completed an initial public offering in the United States on Nasdaq of our ordinary shares, par value NIS 0.01 per share, pursuant to a Registration Statement on Form F-1, as amended (File No. 333-240209), which became effective on August 20, 2020. Cantor Fitzgerald &amp; Co., Oppenheimer &amp; Co. Inc., Berenberg and CIBC Capital Markets acted as joint book-runners. National Securities Corporation acted as co-manager for the offering.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issued and sold 10,555,556 ordinary shares at a public offering price of $18 per share, including 1,376,812 additional ordinary shares purchased by the underwriters at the public offering price, less the underwriting discount, pursuant to the exercise in full of their option to purchase additional ordinary shares. Following the sale of our ordinary shares in connection with the initial public offering, the offering terminated.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gross proceeds of the shares sold (including the over-allotment option) was approximately $190.0 million. The total expenses of the offering, including underwriting discounts and commissions, were approximately $20.8 million. The net proceeds we received from the offering (including the over-allotment option) were approximately $169.2 million. No payments for such expenses were made directly or indirectly to (i) any of our directors, officers or their associates, (ii) any persons owning 10% or more of any class of our equity securities or (iii) any of our affiliates.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initial public offering as described in our final prospectus filed with the SEC on August 24, 2020 pursuant to Rule 424(b).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evaluated the effectiveness of the Company’s disclosure controls and procedures as of December 31,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ensure that information required to be disclosed by the issuer in the reports that it files or submits under the Exchange Act of 1934, as amended, is recorded, processed, summarized and reported, within the time periods specified in the Commission’s rules and forms, and that such information is accumulated and communicated to management of the Company, including its Chief Executive Officer and Chief Financial Officer, as appropriate to allow timely decisions regarding required disclosure.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20-F, the Company’s Chief Executive Officer and Chief Financial Officer have concluded that the Company’s disclosure controls and procedures over financial reporting were effective as of December 31, 2025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ind w:left="340"/>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described in Rules 13a-15(f) and 15d-15(f) under the Securities Exchange Act of 1934, as amended, or the Exchange Act. Internal control over financial reporting is defined as a process designed by, or under the supervision of, our Chief Executive Officer and Chief Financial Officer,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our conditions, or that the degree of compliance with our policies or procedures may deteriorate.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management, under the supervision and participation of our Chief Executive Officer and our Chief Financial Officer, has conducted an assessment of the effectiveness of our internal control over financial reporting as of December 31, 2025 using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Following the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determined that our internal control over financial reporting was effective as of December 31,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Attestation Report of the Registered Public Accounting Firm</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31, 2025 has been audited by Kesselman &amp; Kesselman, an independent registered public accounting firm in Israel and a member of PricewaterhouseCoopers International Limited, as stated in their report which is included under “Item 18—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Changes in Internal Control Over Financial Reporting</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Annual Report on Form 20-F that have materially affected, or that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Noga Kainan and Dan Suesskind, independent directors and members of our audit committee, are audit committee financial experts.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adopted a code of ethics and conduct, which is applicable to all of our directors, officers and employees. We have made our code of ethics publicly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Kesselman</w:t>
      </w:r>
    </w:p>
    <w:p>
      <w:pPr>
        <w:spacing w:after="0" w:line="27" w:lineRule="exact"/>
        <w:rPr>
          <w:sz w:val="20"/>
          <w:szCs w:val="20"/>
          <w:color w:val="auto"/>
        </w:rPr>
      </w:pPr>
    </w:p>
    <w:p>
      <w:pPr>
        <w:ind w:firstLine="8"/>
        <w:spacing w:after="0" w:line="260" w:lineRule="auto"/>
        <w:tabs>
          <w:tab w:leader="none" w:pos="21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Kesselman, Certified Public Accountants (Isr.), a member firm of PricewaterhouseCoopers International Limited, our independent registered public accounting firm, for the periods indicated.</w:t>
      </w:r>
    </w:p>
    <w:p>
      <w:pPr>
        <w:spacing w:after="0" w:line="17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591,013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605,121</w:t>
            </w: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8,541</w:t>
            </w: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represents the aggregate fees billed or accrued for the interim reviews and audit of our annual financial statements. This category also includes services that generally the independent accountant provides, such as consents and assistance with and review of documents filed with the SEC.</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represents the aggregate fees billed or accrued for assurance and related services that are reasonably related to the performance of the audit or review of our financial statements and not reported under “Audit Fees.”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represents the aggregate fees billed or accrued for professional tax services rendered by our independent registered public accounting firm for tax compliance and tax advice on actual or contemplated transactions.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represents the aggregate fees billed or accrued for services rendered by our independent registered public accounting firm other than services reported under “Audit Fees,” “Audit-related Fees” and “Tax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has adopted a policy pursuant to which we will not engage our auditors to perform any non-audit services unless the audit committee pre-approves the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permitted to follow certain Israeli corporate governance practices instead of the Nasdaq corporate governance rules, provided that we disclose which requirements we are not following and the equivalent Israeli requirement. Pursuant to the “foreign private issuer exemption”:</w:t>
      </w:r>
    </w:p>
    <w:p>
      <w:pPr>
        <w:spacing w:after="0" w:line="176" w:lineRule="exact"/>
        <w:rPr>
          <w:sz w:val="20"/>
          <w:szCs w:val="20"/>
          <w:color w:val="auto"/>
        </w:rPr>
      </w:pPr>
    </w:p>
    <w:p>
      <w:pPr>
        <w:jc w:val="both"/>
        <w:ind w:left="660" w:hanging="328"/>
        <w:spacing w:after="0" w:line="25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comply with Israeli law with respect to quorum requirements. In accordance with the Companies Law, our amended and restated articles of association provide that a quorum of two or more shareholders holding at least 25% of the voting rights in person or by proxy is required for commencement of business at a general shareholder meeting. The quorum set forth in our amended and restated articles of association with respect to an adjourned meeting shall, subject to a limited exception, consist of one or more shareholders present in person or by proxy (including by voting deed), regardless of the number or percentage of our outstanding shares held by them;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Israeli corporate governance practices instead of the Nasdaq requirements with regard to the nomination committee and director nomination procedures. The nominations for directors, which are presented to our shareholders by our board of directors, are generally made by the board of directors itself, in accordance with the provisions of our amended and restated articles of association and the Companies Law. With the exception of directors elected by our board of directors due to a vacancy, in accordance with the staggered nomination as described under “Item 6. Directors, Senior Management and Employees—C. Board Practices—Board of Directors,” we intend to elect our directors to hold office until the annual general meeting of our shareholders that occurs in the third year following his or her election and until his or her successor shall be elected and qualified;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and approve material changes to equity incentive plans in accordance with the Companies Law, which does not impose a requirement of shareholder approval for such actions. In addition, we follow Israeli corporate governance practice, which requires shareholder approval prior to an issuance of securities in connection with equity-based compensation of officers, directors, employees or consultants only under certain circumstances, in lieu of Nasdaq Marketplace Rule 5635(c);</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As a foreign private issuer, we are generally exempt from the SEC’s proxy solicitation rules;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Israeli corporate governance practices instead of Nasdaq requirements to obtain shareholder approval for all corporate actions requiring such approval under the requirements of the Companies Law such as (i) transactions with directors concerning the terms of their service or indemnification, exemption and insurance for their service (or for any other position that they may hold at our company), (ii) extraordinary transactions with controlling shareholders, (iii) terms of employment or other engagement of the controlling shareholder of the company or such controlling shareholder’s relative, (iv) private placements that will result in a change of control, (v) certain transactions, other than a public offering, involving issuances of a 20% or greater interest in us and (vi) certain acquisitions of the stock or assets of another company.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Otherwise, we intend to comply with the rules generally applicable to U.S. domestic companies listed on the Nasdaq. We may in the future decide to use the foreign private issuer exemption with respect to some or all of the other Nasdaq corporate governance rules. We also intend to comply with Israeli corporate governance requirements under the Companies Law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senior management, and employees that is reasonably designed to promote compliance with applicable insider trading laws, rules and regulations, and any listing standards applicable to us. A copy of our insider trading policy is attached as Exhibit 11.1 to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Strategy and Process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policies, processes, and systems for assessing, identifying and managing material risks from cybersecurity threats, and have integrated these processes into our overall risk management systems and processes. We routinely assess material risks from cybersecurity threats, including any potential unauthorized occurrence on or conducted through our information and cybernetic systems that may result in adverse effects on the confidentiality, integrity, or availability of our information systems or any information residing therein.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our management team, including our Chief Information Security Officer (CISO), Vice President of IT &amp; Cyber (VP IT &amp; Cyber), and our legal professionals.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CISO reports to the VP IT &amp; Cyber who reports to the Chief Resource Officer. The CISO and VP IT &amp; Cyber have primary responsibility for the strategy, engineering, and operations of cybersecurity across the Company, in collaboration with executive management and business unit leaders. All legal aspects related to cybersecurity are reported to the Chief Legal Officer.</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CISO is supported by a team of cybersecurity, information security, information technology, operations, and legal professionals, both in-house and through external service providers.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overall cybersecurity management system includes:</w:t>
      </w:r>
    </w:p>
    <w:p>
      <w:pPr>
        <w:spacing w:after="0" w:line="225" w:lineRule="exact"/>
        <w:rPr>
          <w:sz w:val="20"/>
          <w:szCs w:val="20"/>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 enterprise IT environment;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in-house cybersecurity and information technology (IT) team principally responsible for managing (1) our cybersecurity risk assessment processes, (2) our security controls, and (3) our response to cybersecurity incidents, as well as members of our management team dedicated to assessing and managing material risks from cybersecurity threats;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foregoing, we have conducted exercises involving our executives to simulate cybersecurity incidents to familiarize our management with possible cybersecurity incidents and to develop appropriate response protocols, with the details and results of such exercises presented to the board of directors. Such “tabletop exercises” are prepared by our CISO in collaboration with our Vice President of IT &amp; Cyber, a third party expert in cybersecurity ransom negotiations, external legal counsels and a cyber insurance broker. Tabletop exercises represent simulated scenarios of cybersecurity attacks designed according to the specifications, threat profile, and regulatory landscape relevant to us with the following objectives in mind:</w:t>
      </w:r>
    </w:p>
    <w:p>
      <w:pPr>
        <w:spacing w:after="0" w:line="18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executives to deal with relevant information security scenarios;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familiarize and understand key areas and areas of exposures relevant in a response process to information security incidents;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key gaps in current business and information security policies, standards, and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stakeholders’ level of preparedness and involvement to navigate cybersecurity incidents;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 the organization to adapt and improve decision-making procedures, strategies and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enhance stakeholders’ capabilities in coping with and defeating cybersecurity incidents;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fine-tune incident response and business continuity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Main points addressed in tabletops include:</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scoping and differential analysis;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risks, and potential exposures of a cybersecurity incident to business continuity, data confidentiality, Company reputation and goodwill, human resources, legal, and regulatory liability;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and limitations of cybersecurity threat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actors’ motivations and tactics;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conducting threat actor communications;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functions of an incident response team and cybersecurity incident negotiations professional;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and content of a cyber-incident response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analysis and management during a cybersecurity incident.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Cybersecurity Incidents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the Company did not experience any material cybersecurity incidents, nor do we face any current risk from cybersecurity threats, including from any previous cybersecurity incidents, that are reasonably likely to materially affect the Company,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The Board oversees management’s implementation of our cybersecurity risk management program.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began receiving regular reports from management on our cybersecurity risks. In addition, management updates the board of directors, as necessary, regarding any material cybersecurity incidents, as well as any incidents with lesser impact potential. In addition, at least once a year, the board of directors receives a report from management on the topic.</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All reasonable measures were taken according to Best Global Practice, ISO 27001, ISO 27799, ITGC Audit, Israel National Privacy Directorate and The Israel National Cyber Directorate.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Nano-X Imaging Ltd. are included at the end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3"/>
                <w:szCs w:val="23"/>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Amended and Restated Articles of Association of the Registrant (incorporated by reference to Exhibit 3.2 to the Registrant’s</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Registration Statement on Form F-1/A (File No. 333-240209) filed on August 14, 2020 with the SEC)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Registered under Section 12 of the Exchange Act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Asset Purchase Agreement, dated November 3, 2021, among MDWEB, LLC, Nano-X Imaging. and Nano-X Imaging Ltd. (incorporated by</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reference to Exhibit 4.1 to the Registrant’s Annual Report on Form 20-F (File No. 001-39461) filed on May 2, 2022 with the SEC)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10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Agreement and Plan of Merger, dated August 9, 2021, among Nano-X Imaging Ltd, Zebra Medical Vision Ltd. and PerryLLion Ltd.</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(incorporated by reference to Exhibit 4.2 to the Registrant’s Annual Report on Form 20-F (File No. 001-39461) filed on May 2, 2022 with</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the SEC)</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First Amendment to the Agreement and Plan of Merger, dated August 9, 2021, among Nano-X Imaging Ltd, Zebra Medical Vision Ltd. and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PerryLLion Ltd. (incorporated by reference to Exhibit 4.3 to the Registrant’s Annual Report on Form 20-F (File No. 001-39461) filed on</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May 2, 2022 with the SEC)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5"/>
                <w:szCs w:val="15"/>
                <w:color w:val="auto"/>
              </w:rPr>
            </w:pPr>
          </w:p>
        </w:tc>
        <w:tc>
          <w:tcPr>
            <w:tcW w:w="10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Stock Purchase Agreement dated November 2, 2021 by and among Dr. Michael Yuz, Dr. Michael Yuz as the representative of Sellers,</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USARAD Holdings, Inc. and Nano-X Imaging Ltd (incorporated by reference to Exhibit 4.4 to the Registrant’s Annual Report on Form 20-</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 (File No. 001-39461) filed on May 2, 2022 with the SEC)</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warrants to purchase ordinary shares issued to A-Labs Finance and Advisory Ltd. (incorporated by reference to Exhibit 4.5 to the</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Registrant’s Registration Statement on Form F-1 (File No. 333-240209) filed on July 30, 2020 with the SEC)</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10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Warrant to purchase ordinary shares, dated September 2, 2019, issued to SK Telecom TMT Investment Corp. (incorporated by reference to</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Exhibit 4.6 to the Registrant’s Registration Statement on Form F-1 (File No. 333-240209) filed on July 30, 2020 with the SEC)</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Amendment to Warrant to purchase ordinary shares, dated June 4, 2020, issued to SK Telecom TMT Investment Corp. (incorporated by</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reference to Exhibit 4.7 to the Registrant’s Registration Statement on Form F-1 (File No. 333-240209) filed on July 30, 2020 with the SEC)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10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warrants to purchase ordinary shares issued to institutional investor, filed on July 26, 2023, as Exhibit 4.3 to the Registrant’s Form</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6-K (File No. 001-39461) filed on July 26, 2023 with the SEC)</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Contract Manufacturing Agreement, dated May 26, 2020, by and between the Registrant and FoxSemicon Integrated Technology, Inc.</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(incorporated by reference to Exhibit 10.1 to the Registrant’s Registration Statement on Form F-1 (File No. 333-240209) filed on July 30,</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2020 with the SEC)</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5"/>
                <w:szCs w:val="15"/>
                <w:color w:val="auto"/>
              </w:rPr>
            </w:pPr>
          </w:p>
        </w:tc>
        <w:tc>
          <w:tcPr>
            <w:tcW w:w="10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2019 Equity Incentive Plan (incorporated by reference to Exhibit 10.3 to the Registrant’s Registration Statement on Form F-1 (File No. 333-</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240209) filed on July 30, 2020 with the SEC)</w:t>
              </w:r>
            </w:hyperlink>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3280" w:type="dxa"/>
            <w:vAlign w:val="bottom"/>
            <w:tcBorders>
              <w:top w:val="single" w:sz="8" w:color="0000EE"/>
              <w:bottom w:val="single" w:sz="8" w:color="auto"/>
            </w:tcBorders>
            <w:gridSpan w:val="4"/>
          </w:tcPr>
          <w:p>
            <w:pPr>
              <w:spacing w:after="0"/>
              <w:rPr>
                <w:sz w:val="24"/>
                <w:szCs w:val="24"/>
                <w:color w:val="auto"/>
              </w:rPr>
            </w:pPr>
          </w:p>
        </w:tc>
        <w:tc>
          <w:tcPr>
            <w:tcW w:w="210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162</w:t>
            </w:r>
          </w:p>
        </w:tc>
        <w:tc>
          <w:tcPr>
            <w:tcW w:w="1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10220" w:type="dxa"/>
            <w:vAlign w:val="bottom"/>
            <w:tcBorders>
              <w:right w:val="single" w:sz="8" w:color="CCEEFF"/>
            </w:tcBorders>
            <w:gridSpan w:val="15"/>
            <w:shd w:val="clear" w:color="auto" w:fill="CCEEFF"/>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U.S. Sub-Plan (incorporated by reference to Exhibit 10.4 to the Registrant’s Registration Statement on Form F-1 (File No. 333-240209)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on July 30, 2020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2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Indemnification Agreement between the Registrant and each director and executive officer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Registration Statement on Form F-1/A (File No. 333-240209) filed on August 14, 2020 with the SEC)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22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Compensation Policy for Executive Officers and Directors (incorporated by reference to Exhibit 4.13 to the Registrant’s Annual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20-F (File No. 001-39461) filed with the SEC on April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2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Settlement Agreement and Release dated December 29, 2022, among Nano-X Imaging Ltd, Nano-X AI Ltd. (formerly Zebra Medical Vision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Ltd.) and PerryLLion Ltd. (incorporated by reference to Exhibit 4.14 to the Registrant’s Annual Report on Form 20-F (File No. 001-39461)</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6"/>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filed on May 1, 2023 with the SEC)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22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First Amendment to Stock Purchase Agreement dated April 28, 2023, by and among Dr. Michael Yuz, as the Seller Representative, Nano-X</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Imaging, Inc. and Nano-X Imaging Ltd. (incorporated by reference to Exhibit 4.15 to the Registrant’s Annual Report on Form 20-F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001-39461) filed on May 1, 2023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220" w:type="dxa"/>
            <w:vAlign w:val="bottom"/>
            <w:gridSpan w:val="15"/>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Sales Agreement, dated as of June 7, 2024, among NANO-X IMAGING LTD, Cantor Fitzgerald &amp; Co., and Mizuho Securities USA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(incorporated by reference to Exhibit 10.1 to the Registrant’s Report on Form 6-K furnished to the SEC on June 7,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22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Stock Purchase Agreement, dated as of November 18, 2025, among Nano-X Imaging Inc., Vaso Corporation, and Vaso Healthcare 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98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(incorporated by reference to Exhibit 2.6 to the Registrant’s Registration Statement on Form F-3, Filed with the SEC on March 13, 2026)</w:t>
              </w:r>
            </w:hyperlink>
          </w:p>
        </w:tc>
        <w:tc>
          <w:tcPr>
            <w:tcW w:w="3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2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Development and Purchase Agreement, dated as of December 22, 2024, among Nano-X Imaging Ltd. and SKAN-X Radiology Devices SRL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71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Volume Supply Agreement, dated as of August 8, 2025, among Nano-X Imaging Ltd. and Fabrinet</w:t>
            </w:r>
          </w:p>
        </w:tc>
        <w:tc>
          <w:tcPr>
            <w:tcW w:w="310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2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22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Insider Trading Compliance Policy (incorporated by reference to Exhibit 11.1 to the Registrant’s Annual Report on Form 20-F (File No. 001-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39461) filed with the SEC on April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2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220" w:type="dxa"/>
            <w:vAlign w:val="bottom"/>
            <w:tcBorders>
              <w:right w:val="single" w:sz="8" w:color="CCEEFF"/>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2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220" w:type="dxa"/>
            <w:vAlign w:val="bottom"/>
            <w:tcBorders>
              <w:right w:val="single" w:sz="8" w:color="CCEEFF"/>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22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Consent of Kesselman &amp; Kesselman, Certified Public Accountants (Isr.) a member firm of PricewaterhouseCoopers International Limited,</w:t>
            </w:r>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22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Policy for Recovery of Erroneously Awarded Compensation (incorporated by reference to Exhibit 97.1 to the Registrant’s Annual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20-F (File No. 001-39461) filed with the SEC on April 9,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00" w:type="dxa"/>
            <w:vAlign w:val="bottom"/>
            <w:tcBorders>
              <w:top w:val="single" w:sz="8" w:color="CCEEFF"/>
            </w:tcBorders>
            <w:gridSpan w:val="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60" w:right="3640" w:hanging="452"/>
        <w:spacing w:after="0" w:line="490" w:lineRule="auto"/>
        <w:tabs>
          <w:tab w:leader="none" w:pos="101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Previously filed.</w:t>
      </w:r>
    </w:p>
    <w:p>
      <w:pPr>
        <w:ind w:left="840" w:hanging="319"/>
        <w:spacing w:after="0"/>
        <w:tabs>
          <w:tab w:leader="none" w:pos="8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720" w:hanging="321"/>
        <w:spacing w:after="0"/>
        <w:tabs>
          <w:tab w:leader="none" w:pos="7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Form 20-F’s Instructions as to Exhibits. The registrant agrees to furnish supplementally an unredacted copy of the exhibit to the Securities and Exchange Commission upon its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68" w:name="page169"/>
    <w:bookmarkEnd w:id="16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reviewing the agreements included as exhibits to this annual report on Form 20-F, please remember they are included to provide you with information regarding their terms and are not intended to provide any other factual or disclosure information about us or the other parties to the agreements.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agreements may contain representations and warranties by each of the parties to the applicable agreement. These representations and warranties have been made solely for the benefit of the other parties to the applicable agreement and:</w:t>
      </w:r>
    </w:p>
    <w:p>
      <w:pPr>
        <w:spacing w:after="0" w:line="162" w:lineRule="exact"/>
        <w:rPr>
          <w:sz w:val="20"/>
          <w:szCs w:val="20"/>
          <w:color w:val="auto"/>
        </w:rPr>
      </w:pPr>
    </w:p>
    <w:p>
      <w:pPr>
        <w:ind w:left="660" w:right="2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and are subject to more recent developments.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NANO-X IMAGING LTD hereby certifies that it meets all of the requirements for filing on Form 20-F and that it has duly caused and authorized the undersigned to sign this annual report on Form 20-F on its behalf.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Erez Meltzer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2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78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color w:val="auto"/>
                <w:w w:val="98"/>
              </w:rPr>
              <w:t>CONSOLIDATED FINANCIAL STATEMENTS</w:t>
            </w:r>
          </w:p>
        </w:tc>
        <w:tc>
          <w:tcPr>
            <w:tcW w:w="78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9"/>
              </w:rPr>
              <w:t>INDEX</w:t>
            </w:r>
          </w:p>
        </w:tc>
        <w:tc>
          <w:tcPr>
            <w:tcW w:w="780" w:type="dxa"/>
            <w:vAlign w:val="bottom"/>
          </w:tcPr>
          <w:p>
            <w:pPr>
              <w:spacing w:after="0"/>
              <w:rPr>
                <w:sz w:val="24"/>
                <w:szCs w:val="24"/>
                <w:color w:val="auto"/>
              </w:rPr>
            </w:pPr>
          </w:p>
        </w:tc>
      </w:tr>
      <w:tr>
        <w:trPr>
          <w:trHeight w:val="439"/>
        </w:trPr>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name: Kesselman &amp; Kesselman C.P.A.s and PCAOB ID: 1309)</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2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22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Operations and Comprehensive Loss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2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Changes in Shareholders’ Equity</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2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2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104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F-39</w:t>
            </w:r>
          </w:p>
        </w:tc>
      </w:tr>
      <w:tr>
        <w:trPr>
          <w:trHeight w:val="20"/>
        </w:trPr>
        <w:tc>
          <w:tcPr>
            <w:tcW w:w="22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Nano-X Imaging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Nano-X Imaging Ltd. and its subsidiaries (the “Company”) as of December 31, 2025 and 2024, and the related consolidated statements of operations and comprehensive loss,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1a to the consolidated financial statements, the Company has incurred recurring losses and negative cash flows from operating activities and has an accumulated deficit as of December 31, 2025. These circumstances raise substantial doubt about the Company’s ability to continue as a going concern. Management’s plans in regard to these matters are also described in Note 1a. The consolidated financial statements do not include any adjustments that might result from the outcome of this uncertainty. This matter is also described in the “Critical Audit Matters” section of our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ability to continue as a going concern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and in Note 1a to the consolidated financial statements, the Company has an accumulated deficit and its activities have been funded primarily through offerings of the Company’s securities and borrowing. There is no assurance that the Company’s business will generate sustainable positive cash flows to fund its business. Management expects that the Company will incur additional losses as it continues to focus its resources on advancing its commercial operations, as well as further development and enhancement of its imaging technology, obtaining and maintaining regulatory approvals and expanding its sales, marketing and operational infrastructure, all of which will result in negative cash flows from operating activities. Management believes that its current resources are insufficient to fund its activities for a period exceeding 12 months from the date of issuance of the consolidated financial statements. These conditions and events raise substantial doubt about the Company’s ability to continue as a going concern.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related to the Company’s ability to continue as a going concern is a critical audit matter are the estimation and execution uncertainty regarding the Company’s future cash flows and management’s judgments and assumptions in estimating these cash flows to conclude the Company would have sufficient liquidity to fund its operations for at least 12 months from the date of issuance of the consolidated financial statements. This in turn led to a high degree of auditor subjectivity and judgment to evaluate the audit evidence supporting the liquidity conclusions.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our overall opinion on the consolidated financial statements. Our audit procedures included, among others, testing the reasonableness of the forecasted revenue, operating expenses, and uses and sources of cash used in management’s assessment of whether the Company has sufficient liquidity to fund operations for at least 12 months from the consolidated financial statements issuance date. This testing included testing the effectiveness of controls over management’s liquidity assessment including the review of the inputs and assumptions used in this assessment. We assessed the appropriateness of forecast assumption by comparing prior period forecasts to actual results, comparing forecasted revenue to recent historical financial information, testing the underlying data generated to prepare the forecast scenarios and determined whether there was adequate support for the assumptions underlying the forecast, considering the terms of the Company’s existing loans and evaluating management’s analysis of the impact of the above assumptions on the forecasted cash flows. We assessed the adequacy of the Company’s going concern disclosures included in Note 1a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CONSOLIDATED BALANCE SHEETS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56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9"/>
                <w:szCs w:val="19"/>
                <w:color w:val="auto"/>
              </w:rPr>
            </w:pPr>
          </w:p>
        </w:tc>
      </w:tr>
      <w:tr>
        <w:trPr>
          <w:trHeight w:val="194"/>
        </w:trPr>
        <w:tc>
          <w:tcPr>
            <w:tcW w:w="8680" w:type="dxa"/>
            <w:vAlign w:val="bottom"/>
          </w:tcPr>
          <w:p>
            <w:pPr>
              <w:ind w:left="40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18,402</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receivables net of allowance for credit losses of $367 and $112 as of December 31, 2025, and December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2024, 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66,793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78,680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45,355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95,372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131,322</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short-term earnout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16,888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long-term earnout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5,545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6,911</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NIS 0.01 per share 100,000,000 authorized at December 31, 2025 and December 31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69,590,228 and 63,762,001 issued and outstanding at December 31, 2025 and December 31, 2024,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588,301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562,688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(448,767)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(373,749)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139,732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189,119</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393"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98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13,021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11,283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25,809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21,892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16,497</w:t>
            </w: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(12,788)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(10,609)</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19,236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20,182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26,049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5,665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21,587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22,455</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24,272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17,528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1,423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(78,234</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(56,746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(62,589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ind w:right="360"/>
        <w:spacing w:after="0" w:line="253" w:lineRule="auto"/>
        <w:rPr>
          <w:sz w:val="20"/>
          <w:szCs w:val="20"/>
          <w:color w:val="auto"/>
        </w:rPr>
      </w:pPr>
      <w:r>
        <w:rPr>
          <w:rFonts w:ascii="Times New Roman" w:cs="Times New Roman" w:eastAsia="Times New Roman" w:hAnsi="Times New Roman"/>
          <w:sz w:val="18"/>
          <w:szCs w:val="18"/>
          <w:b w:val="1"/>
          <w:bCs w:val="1"/>
          <w:color w:val="auto"/>
        </w:rPr>
        <w:t>REALIZED INCOME (LOSS) FROM SALE OF MARKETABLE SECURITIES FINANCIAL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OPERATING LOSS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1"/>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1,424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6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1,792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BASIC AND DILUTED ORDINARY SHARES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 (IN THOUSANDS)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64,790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58,673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56,368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(75,018)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(53,516)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net losses (income) realized in income statement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from marketable securities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 OF CHANGES IN SHAREHOLDERS’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660" w:type="dxa"/>
            <w:vAlign w:val="bottom"/>
          </w:tcPr>
          <w:p>
            <w:pPr>
              <w:spacing w:after="0"/>
              <w:rPr>
                <w:sz w:val="22"/>
                <w:szCs w:val="22"/>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6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55,094,237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477,953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(259,457)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DURING 2023: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warrants, net of issuance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2,142,858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34,750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options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251,391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under settlement agreement with</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former stockholders of USARAD Holding Inc.</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255,392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earn-out liability to equity</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from marketable securities, net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(60,776)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(60,776)</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57,778,628</w:t>
            </w: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515,887</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(320,233)</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195,514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DURING 2024: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net of issuance expenses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5,046,990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37,820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upon exercise of options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746,383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from marketable securities, net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(53,516)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(53,516)</w:t>
            </w:r>
          </w:p>
        </w:tc>
        <w:tc>
          <w:tcPr>
            <w:tcW w:w="0" w:type="dxa"/>
            <w:vAlign w:val="bottom"/>
          </w:tcPr>
          <w:p>
            <w:pPr>
              <w:spacing w:after="0"/>
              <w:rPr>
                <w:sz w:val="1"/>
                <w:szCs w:val="1"/>
                <w:color w:val="auto"/>
              </w:rPr>
            </w:pPr>
          </w:p>
        </w:tc>
      </w:tr>
      <w:tr>
        <w:trPr>
          <w:trHeight w:val="21"/>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63,762,001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562,688</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net of issuance expenses **</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5,624,989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21,188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upon exercise of options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74,027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under settlement agreement with</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stockholders of MDW</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116,226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from marketable securities, net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(75,018)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(75,018)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6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69,590,228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588,301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(448,767)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Issuance expenses totaled to $1,076, $970 and $2,861 in 2025, 2024 and 2023 respectively.</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6" w:name="page177"/>
    <w:bookmarkEnd w:id="176"/>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(75,018)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(53,516)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4,190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6,838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10,508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10,612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10,612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17,528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7,420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1,189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(1,976)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loss (income) from sale of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Exchange rate differentials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 discount and accrued interest on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of short-term deposits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inventories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(1,316)</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655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(investment in) restricted deposits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combinations (see note 3)</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18,295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41,187</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38,287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short-term deposits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15,500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long-term deposits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SAFE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(4,207)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(2,767)</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29,373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(20,051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and warrants, net of issuance costs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21,205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37,834</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27,139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due to settlement of contingent earnout liabilities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options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910" w:orient="portrait"/>
          <w:cols w:equalWidth="0" w:num="1">
            <w:col w:w="11240"/>
          </w:cols>
          <w:pgMar w:left="320" w:top="806" w:right="339" w:bottom="0" w:gutter="0" w:footer="0" w:header="0"/>
        </w:sectPr>
      </w:pPr>
    </w:p>
    <w:p>
      <w:pPr>
        <w:ind w:left="340" w:right="680" w:hanging="161"/>
        <w:spacing w:after="0" w:line="266" w:lineRule="auto"/>
        <w:rPr>
          <w:sz w:val="20"/>
          <w:szCs w:val="20"/>
          <w:color w:val="auto"/>
        </w:rPr>
      </w:pPr>
      <w:r>
        <w:rPr>
          <w:rFonts w:ascii="Times New Roman" w:cs="Times New Roman" w:eastAsia="Times New Roman" w:hAnsi="Times New Roman"/>
          <w:sz w:val="18"/>
          <w:szCs w:val="18"/>
          <w:b w:val="1"/>
          <w:bCs w:val="1"/>
          <w:color w:val="auto"/>
        </w:rPr>
        <w:t>EFFECT OF CHANGES IN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39,304</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56,377</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10" w:orient="portrait"/>
          <w:cols w:equalWidth="0" w:num="2">
            <w:col w:w="6600" w:space="720"/>
            <w:col w:w="3920"/>
          </w:cols>
          <w:pgMar w:left="320" w:top="806"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ACTIVITIES INVOLVING CASH FLOWS: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SUPPLEMENTARY INFORMATION ON ACTIVITIES NOT INVOLVING CASH</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 recognized in connection with a business combination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Issuance of ordinary shares in connection with earnout liability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Reclassification of earn-out liability to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10" w:orient="portrait"/>
          <w:cols w:equalWidth="0" w:num="1">
            <w:col w:w="11240"/>
          </w:cols>
          <w:pgMar w:left="320" w:top="806" w:right="339" w:bottom="0" w:gutter="0" w:footer="0" w:header="0"/>
          <w:type w:val="continuous"/>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lease liabilities arising from obtaining operating right-of use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ind w:left="980" w:hanging="324"/>
        <w:spacing w:after="0" w:line="282" w:lineRule="auto"/>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 Imaging Ltd., an Israeli Company (hereinafter “the Company” or “Nanox IL”), was incorporated on December 20, 2018 and commenced its operations on September 3, 2019.</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the Company completed an IPO and its ordinary shares began to trade on Nasdaq with net proceeds received from the IPO of approximately $169 million.</w:t>
      </w:r>
    </w:p>
    <w:p>
      <w:pPr>
        <w:spacing w:after="0" w:line="161"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19, 2019, Nanox IL established Nanox Imaging Inc. (hereinafter “Nanox Japan”), a wholly owned subsidiary in Japan. Starting 2024 Nanox Japan is inactive.</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25, 2020, Nanox IL established Nano-X Korea Inc. (hereinafter “Nanox Korea”), a wholly owned subsidiary in Korea.</w:t>
      </w:r>
    </w:p>
    <w:p>
      <w:pPr>
        <w:spacing w:after="0" w:line="225"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30, 2021, Nanox IL established Nanox Imaging Inc. (hereinafter “Nanox U.S.”), a wholly owned subsidiary in the United States. On the same date, Nanox U.S. established Nanox MDW Inc. (hereinafter “Nanox MDW”).</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 2021, Nanox U.S. completed the acquisition of 100% of the shares of USARAD Holdings, Inc.</w:t>
      </w:r>
    </w:p>
    <w:p>
      <w:pPr>
        <w:spacing w:after="0" w:line="22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4, 2021, the Company completed the merger with Zebra Medical Vision Ltd (which subsequently changed its name to Nanox AI).</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2024, Nanox IL established Nanox Impact Inc. (hereinafter “Nanox Impact”), a wholly owned subsidiary in the United States.</w:t>
      </w:r>
    </w:p>
    <w:p>
      <w:pPr>
        <w:spacing w:after="0" w:line="22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19, 2025, the company completed the acquisition of 100% of the shares of Vaso Healthcare IT Corp (which subsequently changed its name to Nanox Health IT Inc.) (hereinafter “NHIT”).</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together with its subsidiaries, develops a commercial-grade tomographic imaging device with a digital X-ray source, provides teleradiology services and develops artificial intelligence applications designed to be used in real-world medical imaging applications. The Company’s solution, referred to as the Nanox Multi Source System, has two integrated components – “Nanox.ARC” and “Nanox.CLOUD”. Nanox.ARC is a medical tomographic imaging system incorporating the Company’s novel digital X-ray source. Nanox.CLOUD is a platform which employs a matching engine to match medical images to radiologists, provides image repository, connectivity to diagnostic assistive AI systems, billing and reporting. On April 1, 2021, the Company received clearance from the FDA to market the Company’s Nanox Cart X-Ray System, which is the Company’s Single Source System. On April 28, 2023, the Company received clearance from the FDA to market the</w:t>
      </w:r>
    </w:p>
    <w:p>
      <w:pPr>
        <w:spacing w:after="0" w:line="2" w:lineRule="exact"/>
        <w:rPr>
          <w:rFonts w:ascii="Times New Roman" w:cs="Times New Roman" w:eastAsia="Times New Roman" w:hAnsi="Times New Roman"/>
          <w:sz w:val="18"/>
          <w:szCs w:val="18"/>
          <w:b w:val="1"/>
          <w:bCs w:val="1"/>
          <w:color w:val="auto"/>
        </w:rPr>
      </w:pPr>
    </w:p>
    <w:p>
      <w:pPr>
        <w:jc w:val="both"/>
        <w:ind w:left="9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Nanox.ARC (including the Nanox.CLOUD) as a stationary X‎-ray system‎ intended‎ to produce tomographic images of the human musculoskeletal system adjunctive to conventional radiography, on adult patients. On December 4, 2024, the Company received clearance</w:t>
      </w:r>
    </w:p>
    <w:p>
      <w:pPr>
        <w:jc w:val="both"/>
        <w:ind w:left="9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FDA to market the Nanox.ARC (including the Nanox.CLOUD) as a stationary X‎-ray system‎ intended‎ to produce tomographic images for general use including human musculoskeletal system, pulmonary, intra-abdominal, and paranasal sinus indications, adjunctive to</w:t>
      </w: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conventional radiography, on adult patients. This device is intended‎ to be used in professional healthcare facilities‎ or radiological‎</w:t>
      </w:r>
    </w:p>
    <w:p>
      <w:pPr>
        <w:spacing w:after="0" w:line="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environments,‎ such as hospitals,‎ clinics, imaging centers‎ and other‎ medical practices‎by trained radiographers, radiologists‎ and physicists.</w:t>
      </w:r>
    </w:p>
    <w:p>
      <w:pPr>
        <w:spacing w:after="0" w:line="206"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25, 2025, the Company received its CE (Conformité Européenne) mark certification to market the multi-source Nanox.ARC system, including the Nanox.CLOUD, its accompanying cloud-based infrastructure in Europe.</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2022, the Company entered into a supply agreement with Re-medi Co Ltd. in order to integrate Remedi’s two-dimensional (“2D”) imaging systems (using traditional X-ray tubes) to the Nanox.CLOUD and the Nanox.MARKETPLACE, creating a mobile 2D X-ray system that enables remote readings of scans with AI-powered imaging analysis and a global teleradiology solution, which is referred to as the “Nanox.CONNECT.”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1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GENERAL: </w:t>
      </w:r>
      <w:r>
        <w:rPr>
          <w:rFonts w:ascii="Times New Roman" w:cs="Times New Roman" w:eastAsia="Times New Roman" w:hAnsi="Times New Roman"/>
          <w:sz w:val="18"/>
          <w:szCs w:val="18"/>
          <w:color w:val="auto"/>
        </w:rPr>
        <w:t>(continued):</w:t>
      </w:r>
    </w:p>
    <w:p>
      <w:pPr>
        <w:spacing w:after="0" w:line="148"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has experienced net losses and negative cash flows from operations since its inception. The Company anticipates such losses will continue until its product candidates reach commercial profitability. On July 26, 2023, the Company raised $30 million in a registered direct offering by selling 2.1 million of the Company’s ordinary shares, together with 5 year warrants to purchase up to 2.1 million ordinary shares with an exercise price of $19.00 per share at a combined purchase price of $14.00 per share. The net proceeds of the offering were approximately $27.1 million.</w:t>
      </w:r>
    </w:p>
    <w:p>
      <w:pPr>
        <w:spacing w:after="0" w:line="10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June 7, 2024, the Company entered into a Controlled Equity OfferingSM Sales Agreement (the “Sales Agreement”) with Cantor Fitzgerald &amp; Co. and Mizuho Securities USA LLC (each individually, an “Agent” and collectively, the “Agents”) relating to the issuance and sale from time to time of the Company’s ordinary shares. In accordance with the terms of the Sales Agreement, the Company may offer and sell its ordinary shares having an aggregate offering price of up to $100 million from time to time through the Agents pursuant to the sales agreement. The Agents will be entitled to compensation at a commission rate of up to 2.5 % of the aggregate gross proceeds from each sale of ordinary shares.</w:t>
      </w:r>
    </w:p>
    <w:p>
      <w:pPr>
        <w:spacing w:after="0" w:line="10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 issued 1,798,459 and 5,046,990 ordinary shares in gross consideration of $7.3 and $38.8 million and net consideration of $7.1 and $37.8 million for the years ended December 31, 2025, and 2024, respectively, under the Sales Agreement.</w:t>
      </w:r>
    </w:p>
    <w:p>
      <w:pPr>
        <w:spacing w:after="0" w:line="8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23, 2025, the Company entered into a securities purchase agreement (the “Purchase Agreement”) with a single institutional investor (the “Purchaser”) for the purchase and sale of 3,826,530 of the Company’s ordinary shares, par value NIS 0.01 per share (the “ordinary shares”) at a purchase price of $3.92 per share, in a registered direct offering. Gross consideration of $15 million and net consideration of $14.1 million were received from the purchase agreement.</w:t>
      </w:r>
    </w:p>
    <w:p>
      <w:pPr>
        <w:spacing w:after="0" w:line="99" w:lineRule="exact"/>
        <w:rPr>
          <w:sz w:val="20"/>
          <w:szCs w:val="20"/>
          <w:color w:val="auto"/>
        </w:rPr>
      </w:pPr>
    </w:p>
    <w:p>
      <w:pPr>
        <w:jc w:val="both"/>
        <w:ind w:left="980"/>
        <w:spacing w:after="0" w:line="277" w:lineRule="auto"/>
        <w:rPr>
          <w:sz w:val="20"/>
          <w:szCs w:val="20"/>
          <w:color w:val="auto"/>
        </w:rPr>
      </w:pPr>
      <w:r>
        <w:rPr>
          <w:rFonts w:ascii="Times New Roman" w:cs="Times New Roman" w:eastAsia="Times New Roman" w:hAnsi="Times New Roman"/>
          <w:sz w:val="17"/>
          <w:szCs w:val="17"/>
          <w:color w:val="auto"/>
        </w:rPr>
        <w:t>Since incorporation through December 31, 2025, the Company has an accumulated deficit of $448,767 and its activities have been funded mainly by the sale of its Common Stock and positive cash flow from the Teleradiology business segment. The Company expects to continue to incur significant costs related to its ongoing operations. Management expects that the Company’s cash and cash equivalents, and deposits as of December 31, 2025 are not sufficient to support the Company’s operations under its current operating plans for at least one year from the issuance date of these financial statements. These factors raise substantial doubt as to the Company’s ability to continue as a going concern.</w:t>
      </w:r>
    </w:p>
    <w:p>
      <w:pPr>
        <w:spacing w:after="0" w:line="8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Management is continuing in the process of fund raising in the private equity and capital markets as the Company will need to finance future activities However, there is no assurance that the Company will be able to obtain such funding. In addition, the Company is exploring the use of mitigating actions such as postponing expenses that are not based on firm commitments. These consolidated financial statements do not include any adjustments that may be necessary should the Company be unable to continue as a going concern.</w:t>
      </w:r>
    </w:p>
    <w:p>
      <w:pPr>
        <w:spacing w:after="0" w:line="95"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Economic and geopolitical risks</w:t>
      </w:r>
    </w:p>
    <w:p>
      <w:pPr>
        <w:spacing w:after="0" w:line="148"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Israel and global economies and markets are experiencing volatility and disruption following the escalation of geopolitical tensions. As a result of the military conflict between Russia and Ukraine, sanctions and penalties have been levied by the United States, European Union and other countries against Russia. Russian military actions and the resulting sanctions could have a negative impact on supply chains, the Company’s MSaaS agreements relating to Russia and Belarus or the region and adversely affect the global economy and financial markets.</w:t>
      </w:r>
    </w:p>
    <w:p>
      <w:pPr>
        <w:spacing w:after="0" w:line="98"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Company monitors changes in tariffs, including recently imposed tariffs by the U.S. government and the effects of retaliatory tariffs and countermeasures from affected countries.</w:t>
      </w:r>
    </w:p>
    <w:p>
      <w:pPr>
        <w:spacing w:after="0" w:line="80"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length and impact of the ongoing military conflicts and tariffs are highly unpredictable, they could lead to market disruptions, including significant volatility in commodity prices, credit and capital markets. Any of the abovementioned factors could affect the Company’s business, prospects, financial condition, and operating results. The extent and duration of the military actions, sanctions and resulting market disruptions are impossible to predict, but could be substantial.</w:t>
      </w:r>
    </w:p>
    <w:p>
      <w:pPr>
        <w:spacing w:after="0" w:line="98"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2025, the impact of this war on the Company’s results of operations and financial condition was immaterial, but such impact may increase, which could be material, as a result of the continuation, escalation, or expansion of such war.</w:t>
      </w:r>
    </w:p>
    <w:p>
      <w:pPr>
        <w:spacing w:after="0" w:line="7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security situation in Israel</w:t>
      </w:r>
    </w:p>
    <w:p>
      <w:pPr>
        <w:spacing w:after="0" w:line="148"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In October 2025, the Israeli-Hamas war concluded pursuant to a ceasefire that has mostly been upheld by the sides since that time.</w:t>
      </w:r>
    </w:p>
    <w:p>
      <w:pPr>
        <w:spacing w:after="0" w:line="94"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28, 2026, Israel and the United States initiated a preemptive attack on Iran to which Iran responded with ballistic missile and drone attacks. On April 8, 2026 a ceasefire between the parties was declared. To date, there was no material adverse impact on Company’s operations and financial conditions due to this war. The Company continues to monitor political and military developments closely and examine the consequences for its operations and assets</w:t>
      </w:r>
    </w:p>
    <w:p>
      <w:pPr>
        <w:spacing w:after="0" w:line="98"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headquarters, its R&amp;D operations, and certain manufacturing and assembly facilities are located in Israel.</w:t>
      </w:r>
    </w:p>
    <w:p>
      <w:pPr>
        <w:spacing w:after="0" w:line="144"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Currently, such activities in Israel remain largely unaffected. As of December 31, 2025, the impact of this war on the Company’s results of operations and financial condition was immaterial.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825"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are prepared in accordance with generally accepted accounting principles in the United States (hereinafter, “U.S GAAP”) and include the accounts of the Company and of all its wholly owned subsidiaries. Intercompany accounts and transactions have been eliminated in consolidation.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may differ from those estimates, and such differences may have a material impact on the Company’s consolidated financial statements. As applicable to these consolidated financial statements, the most significant estimates relate to goodwill impairment, impairment of long-lived assets, useful lives of intangible assets, income tax, legal and other contingencies and share-based payments. The Company bases its estimates on historical experience, known trends and events and various other factors that the Company believes are reasonable under the circumstances, the results of which form the basis for making judgments about the carrying values of assets and liabilities that are not readily apparent from other sources. The Company evaluates its estimates and assumptions on an ongoing basis. The Company’s actual results may differ from these estimates under different assumptions or conditions.</w:t>
      </w:r>
    </w:p>
    <w:p>
      <w:pPr>
        <w:spacing w:after="0" w:line="19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dollar is the currency of the primary economic environment in which the operations of the Company and its subsidiaries are conducted. A substantial portion of the revenue and operational costs are denominated in U.S. dollars. Accordingly, the functional currency of the Company is the U.S. dollar (“primary currency”). Transactions and balances originally denominated in dollars are presented at their original amounts. Balances in foreign currencies are translated into the primary currency using historical and current exchange rates for nonmonetary and monetary balances, respectively. For foreign transactions and other items reflected in the statements of operations, the following exchange rates are used: (1) for transactions – exchange rates at transaction dates or average rates and (2) for other items (derived from nonmonetary balance sheet items such as depreciation) – historical exchange rates. The resulting transaction gains or losses are recorded as financial income or expenses.</w:t>
      </w:r>
    </w:p>
    <w:p>
      <w:pPr>
        <w:spacing w:after="0" w:line="18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The Company allocates the fair value of consideration transferred in a business combination to the assets acquired, liabilities assumed, and non-controlling interests in the acquired business based on their fair values at the acquisition date. Acquisition-related expenses are recognized separately from the business combination and are expensed as incurred. The excess of the fair value of the consideration transferred plus the fair value of any non-controlling interest in the acquiree over the fair value of the assets acquired, liabilities assumed in the acquired business is recorded as goodwill. The fair value of the consideration transferred may include a combination of cash, equity securities, earn out payments and deferred payments. The allocation of the consideration transferred in certain cases may be subject to revision based on the final determination of fair values during the measurement period, which may be up to one year from the acquisition date. The cumulative impact of revisions during the measurement period is recognized in the reporting period in which the revisions are identified. The Company includes the results of operations of the businesses that it has acquired in its consolidated results prospectively from the respective dates of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records obligations in connection with its business combinations at fair value on the acquisition date. Each reporting period thereafter, the Company revalues earn-out liabilities and records the changes in their fair value in the consolidated statements of operations and comprehensive loss.</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Changes in the fair value of earn-out liabilities can result from adjustments to the discount rates, sales and profitability targets. This fair value measurement represent Level 3 measurements, as they are based on significant inputs not observable in the market. Significant judgment is required in determining the assumptions utilized as of the acquisition date and for each subsequent period. Accordingly, changes in the assumptions described above could have a material impact on the Company’s consolidated results of operations.</w:t>
      </w:r>
    </w:p>
    <w:p>
      <w:pPr>
        <w:spacing w:after="0" w:line="176" w:lineRule="exact"/>
        <w:rPr>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consist of short-term deposits and money market funds. The short-term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and long-term deposits</w:t>
      </w:r>
    </w:p>
    <w:p>
      <w:pPr>
        <w:spacing w:after="0" w:line="229" w:lineRule="exact"/>
        <w:rPr>
          <w:rFonts w:ascii="Times New Roman" w:cs="Times New Roman" w:eastAsia="Times New Roman" w:hAnsi="Times New Roman"/>
          <w:sz w:val="18"/>
          <w:szCs w:val="18"/>
          <w:b w:val="1"/>
          <w:bCs w:val="1"/>
          <w:color w:val="auto"/>
        </w:rPr>
      </w:pPr>
    </w:p>
    <w:p>
      <w:pPr>
        <w:ind w:left="980" w:right="1460"/>
        <w:spacing w:after="0" w:line="49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with original maturity dates of more than three months but less than one year are included in short-term deposits. Deposits with maturity of more than one year are considered long-term.</w:t>
      </w:r>
    </w:p>
    <w:p>
      <w:pPr>
        <w:spacing w:after="0" w:line="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highly liquid investments are classified as marketable securities and have been classified and accounted for as available-for-sale. Investment in securities consists of debt securities classified as available-for-sale and recorded at fair value. The Company classifies its marketable securities as either short-term or long-term based on each instrument’s underlying contractual maturity date and its reasonable expectation regarding those securities. Unrealized gains and losses on marketable debt securities classified as available-for-sale are reported net of reclassifications in other comprehensive income/(loss).</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Premiums and discounts on debt securities are amortized or accreted over the life of the related security as an adjustment to yield using the effective interest method. Such amortization and accretion are included in the “Financial income, net” line item in the consolidated statements of operations.</w:t>
      </w:r>
    </w:p>
    <w:p>
      <w:pPr>
        <w:spacing w:after="0" w:line="198" w:lineRule="exact"/>
        <w:rPr>
          <w:rFonts w:ascii="Times New Roman" w:cs="Times New Roman" w:eastAsia="Times New Roman" w:hAnsi="Times New Roman"/>
          <w:sz w:val="18"/>
          <w:szCs w:val="18"/>
          <w:b w:val="1"/>
          <w:bCs w:val="1"/>
          <w:color w:val="auto"/>
        </w:rPr>
      </w:pPr>
    </w:p>
    <w:p>
      <w:pPr>
        <w:ind w:left="1060" w:hanging="350"/>
        <w:spacing w:after="0"/>
        <w:tabs>
          <w:tab w:leader="none" w:pos="106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Inventories include raw materials, spare parts and finished products and are valued at the lower of cost or net realizable value. Costs include materials, labor, external service, and manufacturing overhead. The Company adjusts excess and obsolete inventories to net realizable value and write-downs of excess and obsolete inventories are recorded as a component of cost of revenues.</w:t>
      </w:r>
    </w:p>
    <w:p>
      <w:pPr>
        <w:spacing w:after="0" w:line="172" w:lineRule="exact"/>
        <w:rPr>
          <w:sz w:val="20"/>
          <w:szCs w:val="20"/>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receivables are presented net of the allowance for expected credit loss and consists of short term receivables that arise in the normal course of business. The Company performs ongoing credit evaluations of its customers’ financial condition and typically requires no collateral from its customers.</w:t>
      </w:r>
    </w:p>
    <w:p>
      <w:pPr>
        <w:spacing w:after="0" w:line="175" w:lineRule="exact"/>
        <w:rPr>
          <w:rFonts w:ascii="Times New Roman" w:cs="Times New Roman" w:eastAsia="Times New Roman" w:hAnsi="Times New Roman"/>
          <w:sz w:val="18"/>
          <w:szCs w:val="18"/>
          <w:b w:val="1"/>
          <w:bCs w:val="1"/>
          <w:color w:val="auto"/>
        </w:rPr>
      </w:pPr>
    </w:p>
    <w:p>
      <w:pPr>
        <w:jc w:val="both"/>
        <w:ind w:left="9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allowance for credit losses are recognized in general and administrative expenses. Accounts receivables are written-off against the allowance for credit losses when management deems the accounts are no longer collectible.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cost, net of accumulated depreciation. Depreciation is calculated on a straight-line basis over the following estimated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3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6"/>
        </w:trPr>
        <w:tc>
          <w:tcPr>
            <w:tcW w:w="10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lab equipment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0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ARC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machinery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w:t>
            </w:r>
          </w:p>
        </w:tc>
      </w:tr>
      <w:tr>
        <w:trPr>
          <w:trHeight w:val="234"/>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Production line facility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17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terms of the respective leases or the estimated useful lives of the improvements, whichever is shorter.</w:t>
      </w:r>
    </w:p>
    <w:p>
      <w:pPr>
        <w:spacing w:after="0" w:line="158" w:lineRule="exact"/>
        <w:rPr>
          <w:sz w:val="20"/>
          <w:szCs w:val="20"/>
          <w:color w:val="auto"/>
        </w:rPr>
      </w:pPr>
    </w:p>
    <w:p>
      <w:pPr>
        <w:ind w:left="980" w:right="8620" w:hanging="324"/>
        <w:spacing w:after="0" w:line="503" w:lineRule="auto"/>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b w:val="1"/>
          <w:bCs w:val="1"/>
          <w:i w:val="1"/>
          <w:iCs w:val="1"/>
          <w:color w:val="auto"/>
        </w:rPr>
        <w:t>Goodwill</w:t>
      </w:r>
    </w:p>
    <w:p>
      <w:pPr>
        <w:jc w:val="both"/>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reflects the excess of the consideration transferred plus the fair value of any non-controlling interest in the acquiree at the business combination date over the fair values of the identifiable net assets acquired. Goodwill is an asset representing the future economic benefits arising from other assets acquired in a business combination that are not individually identified and separately recognized. The Company allocated goodwill to its reporting units based on the reporting unit expected to benefit from the business combination. The primary items that generate goodwill include the value of the synergies between the acquired companies and the Company and the acquired assembled workforce, neither of which qualifies for recognition as an intangible asset. The Company performs an annual impairment assessment of goodwill at the reporting unit level in the fourth quarter of each year, or more frequently if indicators of potential impairment exist. ASC 350 allows an entity to first assess qualitative factors to determine whether a quantitative goodwill impairment test is necessary. Further testing is only required if the entity determines, based on the qualitative assessment, that it is more likely than not that a reporting unit’s fair value is less than its carrying amount. Otherwise, no further impairment testing is required. Examples of events or circumstances that may be indicative of impairment include but are not limited to: macroeconomic and industry conditions, overall financial performance and adverse changes in legal, regulatory, market share and other relevant entity specific events. An entity has the option to bypass the qualitative assessment for any reporting unit in any period and proceed directly to the quantitative goodwill impairment test. This would not preclude the entity from performing the qualitative assessment in any subsequent period. The quantitative assessment compares the fair value of the reporting unit to its carrying value, including goodwill.</w:t>
      </w:r>
    </w:p>
    <w:p>
      <w:pPr>
        <w:spacing w:after="0" w:line="195"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only remaining goodwill relates to the acquisition of NHIT. The goodwill was assigned to the AI and software Solutions segment.</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the Company recognized a goodwill impairment of $7,420 thousand related to the acquisition of USARAD and Nanox AI (refer to Note 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Definite life intangible assets are amortized using the straight-line method over their estimated period of useful life. Amortization of radiologist relationships, market platform, developed technology and image big data are recorded under cost of revenues. Amortization of trade names and customer relationships are recorded under sales and marketing expenses. In addition, the amortization period for intangible assets is reassessed and, if necessary, revised.</w:t>
      </w:r>
    </w:p>
    <w:p>
      <w:pPr>
        <w:spacing w:after="0" w:line="176"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long-lived assets, such as property, plant and equipment, operating lease right-of-use asset and identifiable intangible assets are reviewed for potential impairment whenever events or changes in circumstances indicate that the carrying amount of an asset may not be recoverable. Impairment indicators which could trigger an impairment may include, among others, any significant changes in the manner of the Company’s use of the assets or the strategy of the Company’s overall business, certain reorganization initiatives, significant negative industry or economic trends or when the Company concludes that it is more likely than not that an asset will be disposed of or sold. The recoverability of assets to be held and used is measured by a comparison of the carrying amount of an asset to the future undiscounted cash flows expected to be generated by such assets. If such assets are considered to be impaired, the impairment to be recognized is measured by the amount by which the carrying amount of the assets exceeds the fair value of the assets. This measurement includes significant estimates and assumptions inherent in the estimate of the fair value of identifiable intangible assets and property and equipment such as assumptions associated with forecasting profitability, including operational margins and capital expenditures. Accordingly, changes in the assumptions described above could have a material impact on our consolidated results of operations. As further described under Note 6, in the fourth quarter of 2025, the Company recorded an impairment charge of $17,528 in respect of its chip production line in Korea. This charge was recorded under “Impairment of long-lived assets” line item in the consolidated statements of operations and comprehensive income (loss). During 2024 and 2023, the Company did not recognize any impairment charge related to its definite life intangible assets.</w:t>
      </w:r>
    </w:p>
    <w:p>
      <w:pPr>
        <w:spacing w:after="0" w:line="19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Equity Securities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investment in equity securities consists of non-marketable equity securities, which is an investment in a privately held company and presented under other non-current assets. The Company’s equity investment does not have a readily determinable fair value. The investment is measured as cost method investment under the measurement alternative prescribed within ASU 2016-01 “Financial Instruments—Recognition and Measurement of Financial Assets and Financial Liabilities” to the extent such an investment is not subject to consolidation or the equity method. Under the measurement alternative, this investment is carried at cost, less any impairment, adjusted for changes resulting from observable price changes in orderly transactions for an identical or similar investment of the same issuer. The investment is impaired if based on a qualitative assessment of impairment indicators, the fair value of the investment is less than its carrying amount. If considered impaired, the difference between the carrying amount and fair value should be recorded in the consolidated statement of operations.</w:t>
      </w:r>
    </w:p>
    <w:p>
      <w:pPr>
        <w:spacing w:after="0" w:line="188"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2022, the Company purchased 67,000 common shares of a privately held company for an amount of $1,010 thousand.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Israeli labor law generally requires severance pay be granted upon dismissal of an employee or upon termination of employment under certain other circumstances. Pursuant to Section 14 of the Severance Compensation Act, 1963 (“Section 14”), all of the Company’s employees in Israel are entitled to monthly deposits, at a rate of 8.33% of their monthly salary, made in their name with insurance companies. Payments under Section 14 relieve the Company from any future severance payment obligation with respect to those employees and, as such, the Company may only utilize the insurance policies for the purpose of disbursement of severance pay. As a result, the Company does not recognize an asset nor liability for these employees.</w:t>
      </w:r>
    </w:p>
    <w:p>
      <w:pPr>
        <w:spacing w:after="0" w:line="187"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2024 and 2023, all of the employees of the Company and its subsidiary in Israel are subject to Section 14 of the Severance Law. Severance pay expenses for 2025, 2024 and 2023 amounted to $1,253 thousand, $1,043 thousand and $1,024 thousand, respectively.</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and other contingencies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conditions, such as legal proceedings, may exist as of the date the consolidated financial statements are issued that may result in a loss to the Company, but that will only be resolved when one or more future events occur or fail to occur. In assessing loss contingencies related to legal proceedings that are pending against the Company or unasserted claims that may result in such proceedings, the Company’s management evaluates with its legal advisors the perceived merits of any legal proceedings or unasserted claims as well as the perceived merits of the amount of relief sought or expected to be sought. Such assessment inherently involves an exercise of judgment. Legal fees are expensed as incurred. Litigation outcomes and contingencies are unpredictable and excessive verdicts can occur. Therefore, the Company’s assessments involve complex judgments concerning future events and often rely heavily on estimates and assumptions. The Company applies the guidance in ASC 450-20-25 when assessing losses resulting from contingencies. The Company reviews the adequacy of the accruals on a periodic basis and may determine to alter its reserves at any time in the future if the Company believes it would be appropriate to do so. As such accruals are based on management’s judgment as to the probability of losses and, where applicable, actuarially determined estimates, accruals may materially differ from actual verdicts, settlements or other agreements made with regards to such contingencies. If the assessment of a contingency indicates that it is probable that a material loss would be incurred and the amount of the liability can be estimated, then the Company records an accrued expense in the Company’s consolidated financial statements based on its best estimate. Loss contingencies considered to be remote by management are generally not disclosed unless material. For additional information, see note 10.</w:t>
      </w:r>
    </w:p>
    <w:p>
      <w:pPr>
        <w:spacing w:after="0" w:line="19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Company’s revenues are derived from radiology service fees received from various payors based on established billing rates. Revenues are derived directly from hospitals and healthcare providers. The Company recognizes revenue in the period in which the performance obligation is satisfied. The Company records the amount of revenue that reflects the consideration that it expects to receive in exchange for those services. The Company applies the following five-step model in order to determine this amount: (i) identification of the contract with a customer; (ii) identification of the promised services in the contract and determination of whether they represent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teleradiology services have one performance obligation where the Company acts as principal to its customers (imaging centers, hospitals, and other healthcare providers). Revenue is recognized at a point in time when such performance obligation is satisfied, specifically when the radiologist completes the reading and the annotation of the patient’s images. At large, payments are due at satisfaction of the Company’s performance obligation and after the Company issues an invoice. The Company’s teleradiology fees are fixed based on the type of modalities and agreed with its customers prior to rendering its services. Invoices are issued monthly for services rendered in the same month. Payments are due upon receipt of the invoice. The Company assesses collectability as part of the revenue recognition model. This assessment includes a number of factors such past due amounts, past payment history, and current economic conditions. If it is determined that collectability cannot be reasonably assured, the Company will not recognize the revenue until collectability is assured. The Company records deferred revenue for any upfront payments received in advance of the Company’s performance obligations being satisfied.</w:t>
      </w:r>
    </w:p>
    <w:p>
      <w:pPr>
        <w:spacing w:after="0" w:line="193"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 AI derives most of its revenues from subscription revenues, which are comprised of subscription fees from customers accessing the Company’s cloud computing services and support revenues (collectively, “Services”). The Services allow customers to use the Company’s software without taking possession of the software. Revenue is recognized ratably over the contract term beginning on the date that the platform is made available to a customer.</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Nanox AI’s customers pay in advance of satisfaction of performance obligations according to payment schedules. Nanox AI records contract liabilities to deferred revenue when the customer’s consideration is due or when the Company receives customer payments before the performance obligations are satisfied on its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 net</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are presented net of grants and charged to the statement of operations as incurred and consist primarily of personnel, materials and supplies for research and development activities.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Grants received from Israel Innovation Authority (hereafter — “IIA”)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payment of royalties is not probable when the grants are received, the Company records a liability in the amount of the estimated royalties for each individual contract, when the related revenues are recognized, as part of Cost of revenues. For more information regarding such royalties commitments and regarding grants and participation received, see Note 10.</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5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in accordance with ASC 740, “Income Taxes” (“ASC 740”). ASC 740 prescribes the use of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Deferred tax liabilities and assets are classified as non-current.</w:t>
      </w:r>
    </w:p>
    <w:p>
      <w:pPr>
        <w:spacing w:after="0" w:line="18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would apply in the event of disposal of investments in foreign and domestic subsidiaries have not been taken into account in computing the deferred tax assets as it is apparent that the temporary differences will not reverse in the foreseeable future.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uncertain tax positions in accordance with ASC 740-10. ASC 740-10 contains a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The Company accrues interest and penalties related to unrecognized tax benefits under taxes on income (tax benefit).</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are provided unless it is more likely than not that the deferred tax asset will be realized. In the determination of the appropriate valuation allowances, the Company considers future reversals of existing taxable temporary differences, the most recent projections of future business results, that may enhance the likelihood of realization of a deferred tax asset. Assessments for the realization of deferred tax assets made at a given balance sheet date are subject to change in the future, particularly if earnings of the company or any of its subsidiaries are significantly higher or lower than expected, or if the Company takes operational or tax positions that could impact the future taxable of its earnings or its subsidiaries earnings. Accordingly, changes in the assumptions described above could have a material impact on the Company’s consolidated results of operations.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compensation under ASC 718, “Compensation - Stock Compensation,” which requires the measurement and recognition of compensation expense based on estimated fair values for all share-based payment awards made to non-employees, employees, officers and directors. ASC 718 requires companies to estimate the fair value of equity-based payment awards on the date of grant. The Company uses the Black-Scholes option-pricing model as part of such estimation.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expenses for its stock-based option awards and RSUs on a straight-line basis over the requisite service period (primarily a four-year period). The Company accounts for forfeitures as they occur.</w:t>
      </w:r>
    </w:p>
    <w:p>
      <w:pPr>
        <w:spacing w:after="0" w:line="158" w:lineRule="exact"/>
        <w:rPr>
          <w:sz w:val="20"/>
          <w:szCs w:val="20"/>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net loss attributable to holders of ordinary shares of the Company by the weighted average number of ordinary shares outstanding for each reporting period (including vested RSUs).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the Company’s diluted earnings per share, the denominator for diluted earnings per share is a computation of the weighted-average number of ordinary shares and the potential dilutive ordinary shares outstanding during the period. Potential dilutive ordinary shares result from assumed exercise of investor warrants and options and the assumed vesting of RSUs, using the “treasury stock” method.</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take into account any dilutive instruments, such as investor warrants and share-based payments, since their effect is anti-dilutive.</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79" w:lineRule="exact"/>
        <w:rPr>
          <w:rFonts w:ascii="Times New Roman" w:cs="Times New Roman" w:eastAsia="Times New Roman" w:hAnsi="Times New Roman"/>
          <w:sz w:val="18"/>
          <w:szCs w:val="18"/>
          <w:b w:val="1"/>
          <w:bCs w:val="1"/>
          <w:color w:val="auto"/>
        </w:rPr>
      </w:pPr>
    </w:p>
    <w:p>
      <w:pPr>
        <w:ind w:left="16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rFonts w:ascii="Times New Roman" w:cs="Times New Roman" w:eastAsia="Times New Roman" w:hAnsi="Times New Roman"/>
          <w:sz w:val="18"/>
          <w:szCs w:val="18"/>
          <w:b w:val="1"/>
          <w:bCs w:val="1"/>
          <w:color w:val="auto"/>
        </w:rPr>
      </w:pPr>
    </w:p>
    <w:p>
      <w:pPr>
        <w:ind w:left="16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mainly of cash and cash equivalents, short and long-term deposits restricted deposits, accounts receivable, accounts payable, accrued expenses and other liabilities. The fair value of these financial instruments approximates their carrying value.</w:t>
      </w:r>
    </w:p>
    <w:p>
      <w:pPr>
        <w:spacing w:after="0" w:line="17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Balance as of</w:t>
      </w:r>
    </w:p>
    <w:p>
      <w:pPr>
        <w:spacing w:after="0" w:line="3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loan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short-term earnout liability (***)</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3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long-term earnout liability (***)</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Balance as of</w:t>
      </w:r>
    </w:p>
    <w:p>
      <w:pPr>
        <w:spacing w:after="0" w:line="3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4,321</w:t>
            </w:r>
          </w:p>
        </w:tc>
      </w:tr>
      <w:tr>
        <w:trPr>
          <w:trHeight w:val="23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18,402</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22,723</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w:t>
            </w:r>
          </w:p>
        </w:tc>
      </w:tr>
      <w:tr>
        <w:trPr>
          <w:trHeight w:val="236"/>
        </w:trPr>
        <w:tc>
          <w:tcPr>
            <w:tcW w:w="59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 classifies AFS securities within Level 2 because it uses alternative pricing sources and models utilizing market observable inputs to determine their fair value.</w:t>
      </w:r>
    </w:p>
    <w:p>
      <w:pPr>
        <w:spacing w:after="0" w:line="162" w:lineRule="exact"/>
        <w:rPr>
          <w:sz w:val="20"/>
          <w:szCs w:val="20"/>
          <w:color w:val="auto"/>
        </w:rPr>
      </w:pPr>
    </w:p>
    <w:p>
      <w:pPr>
        <w:jc w:val="both"/>
        <w:ind w:left="340" w:hanging="332"/>
        <w:spacing w:after="0" w:line="261"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approximately $257 thousand of money market funds were classified under “Cash and Cash equivalents” in the consolidated balance sheets as such securities met all applicable classification criteria. As of December 31, 2024, approximately $4,321 thousand of money market funds were classified under “Cash and Cash equivalents” in the consolidated balance sheets as such securities met all applicable classification criteria.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460" w:hanging="452"/>
        <w:spacing w:after="0" w:line="282"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summarize the amortized cost, unrealized gains and losses, and fair value of available-for-sale marketable securities as of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0" w:type="dxa"/>
            <w:vAlign w:val="bottom"/>
          </w:tcPr>
          <w:p>
            <w:pPr>
              <w:spacing w:after="0"/>
              <w:rPr>
                <w:sz w:val="1"/>
                <w:szCs w:val="1"/>
                <w:color w:val="auto"/>
              </w:rPr>
            </w:pPr>
          </w:p>
        </w:tc>
      </w:tr>
      <w:tr>
        <w:trPr>
          <w:trHeight w:val="245"/>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Level 2 securities:</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20" w:type="dxa"/>
            <w:vAlign w:val="bottom"/>
            <w:tcBorders>
              <w:top w:val="single" w:sz="8" w:color="auto"/>
            </w:tcBorders>
          </w:tcPr>
          <w:p>
            <w:pPr>
              <w:spacing w:after="0"/>
              <w:rPr>
                <w:sz w:val="22"/>
                <w:szCs w:val="22"/>
                <w:color w:val="auto"/>
              </w:rPr>
            </w:pPr>
          </w:p>
        </w:tc>
        <w:tc>
          <w:tcPr>
            <w:tcW w:w="6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15,516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15,517</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Agency bonds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18,402</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18,403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2025 and 2024, the Company’s debt securities and certificates of deposit had the following maturity dates:</w:t>
      </w:r>
    </w:p>
    <w:p>
      <w:pPr>
        <w:spacing w:after="0" w:line="23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valuation approach is applied and the valuation inputs include the contingent payment arrangement terms, discount rate and probability assessments.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the liabilities for the earn-out contingent consideration based on a discounted cash flow analysis with regards to the achievement of certain milestones and discount rate. This fair value measurement is based on significant unobservable inputs and thus represents a Level 3 measurement within the fair value hierarchy. The contingent short and long term earnout liability consideration is evaluated quarterly. Changes in the fair value of contingent consideration liabilities are recorded in the consolidated statements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those financial liabilities where fair value measurements are estimated utilizing Level 3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the beginning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Initial recognition of earnout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 out liabilities obligation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(4,488)</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due to achievement of milestones and settlement of contingent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due to settlement of contingent earnout liabilities (*)</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earn-out liability to equity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the end of the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2023, the Company agreed to pay an aggregate amount of $290 in cash and 45,392 ordinary shares to the former stockholders of USARAD, in consideration for the achievement of certain milestones in connection with the first earn out period, as defined in the USARAD Stock Purchase Agreement. In addition, the Company and the former shareholders of USARAD entered into a settlement agreement with respect to any additional amount that could be granted to the shareholders of USARAD as consideration for the remainder of the milestones and applicable earn-outs under the USARAD Stock Purchase Agreement, according to which the Company agreed to pay an aggregate of $500 in cash and 210,000 ordinary shares to the former stockholders of USARAD. As a result of the settlement, both parties’ performance obligations under the USARAD Stock Purchase Agreement have been satisfied in full.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Short-term and Long-term deposits, restricted deposit, marketable securities and accounts receivable.</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cash and cash equivalents and restricted deposits are invested with major banks in Israel, the United States and Korea. Generally, these investments may be redeemed upon demand and the Company believes that the financial institutions that hold the Company’s cash balances are financially sound and, accordingly, bear minimal risk.</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accounts receivable is derived primarily from sales to the Company’s teleradiology business segment located mainly in the United States. Concentration of credit risk with respect to accounts receivable is mitigated by the fact that trade accounts receivables is typically due upon the issuance of invoice for services rendered.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leases in accordance with ASC 842. The Company determines if an arrangement is a lease at inception. Balances related to operating leases are included in operating lease right-of-use (“ROU”) assets, current maturities of operating leases liabilities and Non-current operating leases liabilities in the consolidated balance sheets.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as of the commencement date based on the present value of lease payments over the lease term. On the commencement date, lease payments that include variable lease payments dependent on an index or a rate (such as the Consumer Price Index or a market interest rate), are initially measured using the index or rate at the commencement date. The Company’s lease terms may include options to extend or terminate the lease when it is reasonably certain that the Company will exercise that option. The company elected to separate between lease and non-lease components and will recognize the non-lease component as expense when incurred. The discount rate for the lease is the rate implicit in the lease unless that rate cannot be readily determined. As the Company’s leases do not provide an implicit rate, the Company’s uses its estimated incremental borrowing rate based on the information available at the commencement date in determining the present value of lease payments. Lease expense for lease payments is recognized on a straight-line basis over the lease term (see also note 7).</w:t>
      </w:r>
    </w:p>
    <w:p>
      <w:pPr>
        <w:spacing w:after="0" w:line="190" w:lineRule="exact"/>
        <w:rPr>
          <w:sz w:val="20"/>
          <w:szCs w:val="20"/>
          <w:color w:val="auto"/>
        </w:rPr>
      </w:pPr>
    </w:p>
    <w:p>
      <w:pPr>
        <w:ind w:left="1000" w:hanging="331"/>
        <w:spacing w:after="0"/>
        <w:tabs>
          <w:tab w:leader="none" w:pos="10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the Company’s Chief Executive Officer (the “CODM”), who makes resource allocation decisions and assesses performance based on financial information prepared on a consolidated basis, accompanied by disaggregated information about revenues, gross profit and operating loss by the three identified reportable segments. The Company’s business includes three operating segments based on the services that the Company provides. The three segments are composed of the Nanox.ARC segment, the AI and software solutions segment and the Radiology services segment.</w:t>
      </w:r>
    </w:p>
    <w:p>
      <w:pPr>
        <w:spacing w:after="0" w:line="185" w:lineRule="exact"/>
        <w:rPr>
          <w:sz w:val="20"/>
          <w:szCs w:val="20"/>
          <w:color w:val="auto"/>
        </w:rPr>
      </w:pPr>
    </w:p>
    <w:p>
      <w:pPr>
        <w:ind w:left="1000" w:hanging="331"/>
        <w:spacing w:after="0"/>
        <w:tabs>
          <w:tab w:leader="none" w:pos="10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in the period</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For public business entities, the ASU is effective for annual periods beginning after December 15, 2024. The Company adopted this standard retrospectively to all prior periods presented in the Company’s financial statements, the adoption of this guidance resulted in expanded disclosures in our consolidated financial statements, refer to note 12.</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New Accounting pronouncements Accounting Pronouncements effective in future periods</w:t>
      </w:r>
    </w:p>
    <w:p>
      <w:pPr>
        <w:spacing w:after="0" w:line="22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(Subtopic 220-40): Disaggregation of Income Statement Expense and ASU 2025-01, Income 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The ASU improves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ASU 2025-05 is not expected to have a material impact on the Company’s consolidated financial statements.</w:t>
      </w:r>
    </w:p>
    <w:p>
      <w:pPr>
        <w:spacing w:after="0" w:line="19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Intangibles-Goodwill and Other-Internal-Use Software (Subtopic 350-40): Targeted Improvements to the Accounting for Internal-Use Software (“ASU 2025-06”). ASU 2025-06 provides targeted improvements to the accounting for internal-use software costs by replacing the existing project-stage model with a principles-based approach to determine when capitalization of costs should begin. ASU 2025-06 is effective for all entities for annual reporting periods beginning after December 15, 2027 on a prospective basis, with early adoption permitted. The Company is currently evaluating the potential impact that ASU 2025-06 will have on its consolidated financial statements.</w:t>
      </w:r>
    </w:p>
    <w:p>
      <w:pPr>
        <w:spacing w:after="0" w:line="187"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 Accounting for Government Grants Received by Business Entities. The ASU adds guidance to Accounting Standards Codification 832 on the recognition, measurement, and presentation of government grants. The guidance will be effective for annual reporting periods beginning after December 15, 2028, and interim reporting periods within those annual reporting periods. Early adoption is permitted. The standard updates are to be applied using either a modified prospective, modified retrospective, or full retrospective approach, as detailed in the ASU. The Company is currently evaluating the impact of adoption of the standard update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acquisition of Nanox Health IT Inc. (the “NHIT transaction”)</w:t>
      </w:r>
    </w:p>
    <w:p>
      <w:pPr>
        <w:spacing w:after="0" w:line="225"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November 19, 2025 (the “NHIT closing date”), the Company completed the acquisition of 100% of the shares of Vaso Healthcare IT Corp. (which subsequently changed its name to Nanox Health IT Inc.), a Delaware corporation (“NHIT”), pursuant to the terms of the Stock Purchase Agreement, dated November 19, 2025, between Nanox Imaging Inc., and Vaso Corporation Inc. NHIT is a healthcare information technology provider serving hospitals and healthcare providers across the United States, resells and supports third-party healthcare IT infrastructure, cybersecurity, compliance, and imaging and clinical systems solutions for U.S. healthcare organizations. At the NHIT closing date, Nanox U.S. purchased 100% of the shares of NHIT on a fully diluted basis for $200 thousand in cash. In addition, upon the successful achievement of certain milestones related to revenue from active customers as defined in the Stock Purchase Agreement, the Company will pay additional cash consideration in the amount of up to $600 thousand Earn-Out that shall be calculated as 10% of all revenues received from current NHIT’s active customers as of Closing date, during the two-year earn-out period. Revenue in the amount of $382 thousand and net loss in the amount of $165 thousand of the acquiree included in the Company’s consolidated statements of operations for the period starting from the closing date to December 31, 2025.</w:t>
      </w:r>
    </w:p>
    <w:p>
      <w:pPr>
        <w:spacing w:after="0" w:line="19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NHIT transaction was accounted in accordance with ASC 805, “Business Combinations”, using the acquisition method of accounting with the Company as the acquirer.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consideration transferred to NHIT shareholders for the NHIT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U.S. $</w:t>
            </w:r>
          </w:p>
        </w:tc>
      </w:tr>
      <w:tr>
        <w:trPr>
          <w:trHeight w:val="245"/>
        </w:trPr>
        <w:tc>
          <w:tcPr>
            <w:tcW w:w="100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at estimated fair value</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accordance with ASC 805, the estimated contingent consideration as of the Vaso Corporation Inc. transaction date was included in the purchase price. The total contingent payments could reach to a maximum aggregate amount of up to $600 thousand. All of the payments shall be settled in cash. The estimated fair value of the contingent consideration is based on management’s assessment of whether, and at what level, the financial metrics will be achieved, and the present value factors associated with the timing of the payments. This fair value measurement is based on significant unobservable inputs in the market and thus represents a Level 3 measurement within the fair value hierarchy. Changes in the fair value of contingent consideration will be recorded in operating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14"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BUSINESS COMBINATION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is based on the projected revenue from the acquired customers. The weighted average discount rate, calculated based on the relative fair value of the contingent consideration liabilities, was 24.4%. The contingent consideration is evaluated quarterly, or more frequently, if circumstances dictate. Changes in the fair value of contingent consideration are recorded in consolidated statements of income. Significant changes in unobservable inputs, mainly the probability of success and revenue projected, could result in changes to the contingent consideration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allocation of the purchase price to assets acquired and liabilities assumed is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Allocation of</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4"/>
        </w:trPr>
        <w:tc>
          <w:tcPr>
            <w:tcW w:w="10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(U.S. $</w:t>
            </w:r>
          </w:p>
        </w:tc>
        <w:tc>
          <w:tcPr>
            <w:tcW w:w="100" w:type="dxa"/>
            <w:vAlign w:val="bottom"/>
            <w:gridSpan w:val="2"/>
          </w:tcPr>
          <w:p>
            <w:pPr>
              <w:spacing w:after="0"/>
              <w:rPr>
                <w:sz w:val="16"/>
                <w:szCs w:val="16"/>
                <w:color w:val="auto"/>
              </w:rPr>
            </w:pPr>
          </w:p>
        </w:tc>
      </w:tr>
      <w:tr>
        <w:trPr>
          <w:trHeight w:val="238"/>
        </w:trPr>
        <w:tc>
          <w:tcPr>
            <w:tcW w:w="1002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labilities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20"/>
                <w:szCs w:val="20"/>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The allocation of the purchase price to net assets acquired and liability assumed resulted in the recognition of intangible asset related to customers’ relationship of $381 thousand and goodwill of $316 thousand. As such, the goodwill will be assigned to the operational segment of AI and software solutions. The goodwill is attributable to the workforce of the acquired business. The intangible asset relates to customers’ relationship has a useful-life of 7.08 years. This fair value measurement is based on significant unobservable inputs in the market and thus represents a Level 3 measurement within the fair value hierarchy. The fair value of the contingent consideration is based on the projected revenue from the acquired customers. The weighted average discount rate was 24.4%. The contingent consideration is evaluated quarterly, or more frequently, if circumstances dictate. Changes in the fair value of contingent consideration are recorded in consolidated statements of income. Changes in unobservable inputs, mainly the probability of success and revenue projected, could result in changes to the contingent consideration liabilities. Refer to notes 2d and 2k.</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amount of the acquisition-related costs was approximately $116 thousand which was recognized as an expense in the general and administration expenses.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the Company and NHIT as if the acquisition of NHIT had been completed on January 1, 2024.</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unaudited pro forma results include adjustments primarily related to amortization of the acquired intangible assets as referenced above, as of January 1,2024. The unaudited pro forma results do not reflect any cost-saving synergies from operating efficiencies, or the effect of the incremental costs incurred from integrating NHIT. Accordingly, these unaudited pro forma results are presented for informational purposes only and are not necessarily indicative of what the actual results of operations of the combined company would have been if the acquisition of NHIT had occurred at the beginning of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r>
      <w:tr>
        <w:trPr>
          <w:trHeight w:val="216"/>
        </w:trPr>
        <w:tc>
          <w:tcPr>
            <w:tcW w:w="30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8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30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04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30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US$ in thousand</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16,197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15,880</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(54,308)</w:t>
            </w:r>
          </w:p>
        </w:tc>
      </w:tr>
      <w:tr>
        <w:trPr>
          <w:trHeight w:val="637"/>
        </w:trPr>
        <w:tc>
          <w:tcPr>
            <w:tcW w:w="30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jc w:val="right"/>
              <w:ind w:right="2990"/>
              <w:spacing w:after="0"/>
              <w:rPr>
                <w:sz w:val="20"/>
                <w:szCs w:val="20"/>
                <w:color w:val="auto"/>
              </w:rPr>
            </w:pPr>
            <w:r>
              <w:rPr>
                <w:rFonts w:ascii="Times New Roman" w:cs="Times New Roman" w:eastAsia="Times New Roman" w:hAnsi="Times New Roman"/>
                <w:sz w:val="18"/>
                <w:szCs w:val="18"/>
                <w:color w:val="auto"/>
              </w:rPr>
              <w:t> F-22</w:t>
            </w: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122"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&amp; INTANGIBLE ASSETS,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during the periods ended December 31, 2025, 2024 and 2023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AI and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Radiology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software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of Operation</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the Goodwill related to the acquisition of Nanox AI</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the Goodwill related to the acquisition of USARAD</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from acquisition of Nanox Health IT Inc.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The goodwill balance related to the acquisition of Nanox Health IT Inc. is not deductible for tax purposes.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 to finalize the valuation as soon as practicable, but not later than one year from the acquisition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 for the year ended December 31,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AI solutions reporting unit</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During 2023, in light of triggering events arising from the increase of the discount rate and changes in the Company’s estimates as a result of business specific considerations, the Company performed a quantitative assessment for goodwill impairment for the Company’s AI solutions reporting unit. The amount of goodwill assigned to the AI solutions reporting unit on the interim testing date was $365 thousand. When evaluating the fair value of the AI solutions reporting unit under the income approach, the Company used a discounted cash flow model which utilized Level 3 measures that represent unobservable inputs. Key assumptions used to determine the estimated fair value include: (a) internal cash flows forecasts for 7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22.7% which reflects the weighted-average cost of capital adjusted for the relevant risk associated with the AI solutions reporting unit’s operations and the uncertainty inherent in the Company’s internally developed forecasts. Specifically, as part of the Company’s interim impairment test, in making the assumptions mentioned in clauses (a) and (b) above, the Company considered (1) the efforts and time required for the AI solutions reporting unit to achieve financial stability, (2) its estimate that it would take approximately one year for such unit to generate any material revenue and two years to achieve profitability; and (3) its estimate that it would take longer than we originally expected for such unit to generate material revenues, gross profit, and positive operating cash flows, especially from its population health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GOODWILL &amp; INTANGIBLE ASSETS, NET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a result of the impairment assessment, the Company concluded that the fair value of the AI solutions reporting unit decreased below its carrying value and therefor the Company recorded a goodwill impairment charge of $365 thousand. As a result, the goodwill assigned to the AI solutions reporting unit was fully impaired.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Radiology services reporting unit</w:t>
      </w:r>
    </w:p>
    <w:p>
      <w:pPr>
        <w:spacing w:after="0" w:line="2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During 2023, in light of triggering events arising from the increase of the discount rate and changes in the Company’s estimates as a result of business specific considerations, the Company performed a quantitative assessment for goodwill impairment for the Company’s radiology services reporting unit. The amount of goodwill assigned to the AI solutions reporting unit on the interim testing date, which had not changed from the amount assigned to such unit on the acquisition date, was $7,055 thousand. When evaluating the fair value of the Radiology services reporting unit under the income approach, the Company used a discounted cash flow model which utilized Level 3 measures that represent unobservable inputs. Key assumptions used to determine the estimated fair value include: (a) internal cash flows forecasts for 8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27.9% which reflects the weighted-average cost of capital adjusted for the relevant risk associated with the Radiology services reporting unit’s operations and the uncertainty inherent in the Company’s internally developed forecasts. Specifically, as part of the Company’s interim impairment test, in making the assumptions mentioned in clauses (a) and (b) above, the Company considered (1) the efforts and time required for the Radiology services reporting unit to achieve financial stability, (2) its estimate that it would take approximately one year for such unit to generate any material revenue and two years to achieve profitability; and (3) its estimate that it would take longer than we originally expected for such unit to generate material revenues, gross profit, and positive operating cash flows, especially from its population health applications. As a result of the impairment assessment, the Company concluded that the fair value of the Radiology services reporting unit decreased below its carrying value and therefor the Company recorded a goodwill impairment charge of $7,055 thousand. As a result, the goodwill assigned to the Radiology services reporting unit was fully impaired.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8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7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Net carrying</w:t>
            </w:r>
          </w:p>
        </w:tc>
      </w:tr>
      <w:tr>
        <w:trPr>
          <w:trHeight w:val="259"/>
        </w:trPr>
        <w:tc>
          <w:tcPr>
            <w:tcW w:w="5080" w:type="dxa"/>
            <w:vAlign w:val="bottom"/>
          </w:tcPr>
          <w:p>
            <w:pPr>
              <w:spacing w:after="0"/>
              <w:rPr>
                <w:sz w:val="22"/>
                <w:szCs w:val="2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18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6"/>
        </w:trPr>
        <w:tc>
          <w:tcPr>
            <w:tcW w:w="508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7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Image big data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52,500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35,875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platform</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Radiologist relationships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11.17</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12.17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6.17-7.08</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balance as of December 31, 2025</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was recognized in connection with definite life intangible assets during the reporting periods.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expenses were $10,508, $10,612 and $10,612 thousand for the years ended December 31, 2025,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8"/>
        </w:trPr>
        <w:tc>
          <w:tcPr>
            <w:tcW w:w="104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8"/>
              </w:rPr>
              <w:t>NOTES TO THE FINANCIAL STATEMENTS (continued)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 GOODWILL &amp; INTANGIBLE ASSETS, NET </w:t>
            </w:r>
            <w:r>
              <w:rPr>
                <w:rFonts w:ascii="Times New Roman" w:cs="Times New Roman" w:eastAsia="Times New Roman" w:hAnsi="Times New Roman"/>
                <w:sz w:val="18"/>
                <w:szCs w:val="18"/>
                <w:color w:val="auto"/>
              </w:rPr>
              <w:t>(Continued):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4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Amortization of intangible assets for each of the next five years and thereafter is expected to be as follows (U.S. dollars in thousands):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9,804</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9,804</w:t>
            </w:r>
          </w:p>
        </w:tc>
      </w:tr>
      <w:tr>
        <w:trPr>
          <w:trHeight w:val="237"/>
        </w:trPr>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10,420</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is valued at the lower of cost or net realizable value. Costs include materials, labor, external service and manufacturing overhead.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inventories: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parts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Composition of property and equipment grouped by major classifications is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lab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machinery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Nanox.ARC</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 See b below</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Production line– See b below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33,659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980" w:hanging="324"/>
        <w:spacing w:after="0" w:line="261"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depreciation in respect of property and equipment were approximately $1,189 thousand, $1,121 thousand and $1,198 thousand for the years ended December 31, 2025, 2024 and 2023, respectively. A loss from disposal of property and equipment in the amount of $207 thousand, $202 thousand and $1,297 thousand was recorded for the years ended December 31, 2025, 2024 and 2023, respectively, in relation to the Company’s Property, Plant and Equipment.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Nanox Korea purchased land for approximately $6,314 thousand upon which it built a fabrication facility. In 2021, Nanox Korea completed the construction of the permanent fabrication plant. In the fourth quarter of 2025, the Company began transitioning away from certain manufacturing activities at its facility in South Korea and moving from a company-owned manufacturing model to a more fully outsourced approach. As a result, the Company concluded that starting in the fourth quarter the chip production line will no longer generate positive future cash flows and estimated the fair value of the chip production line to be nil. As a result, the Company recorded an impairment charge of $17,528 thousands of machinery and equipment of the Company’s chip manufacturing line. This charge was recorded under “Impairment of long-lived assets” line item in the consolidated statements of operations and comprehensive loss for the year ended December 31, 2025. This impairment charge is allocated to the Nanox.ARC segment.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79"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has several operating building and car lease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the second half of 2023, the Company started leasing two office floors and parking spaces in Petah Tikva.</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3080 square meters (1540 each floor). The lease agreement is effective through October 2028 with an option to extend the lease term through the second lease term, additional 5 years. The Company decided that the lease term for the lease components will include both the Initial Lease Term and the Second Lease Term meaning effective through October 2033.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average monthly payment for this agreement is approximately $59 thousand.</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vehicles to some of its employees. The lease agreement is effective through March 2028 and the monthly payment in 2025 was approximately $7 thousand.</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Nanox Imaging Inc. leased its offices in the U.S. under operating lease agreement which expired in January 2025. The monthly rent payment for this agreement was approximately $6 thousand.</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USARAD Holdings inc. leases its offices in the U.S. under operating lease agreement which expires in December 2027. The monthly rent payment for this agreement is approximately $12 thousand.</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Nanox Impact inc. leases its offices in the U.S. under operating lease agreement which expires in August 2026. The monthly rent payment for this agreement is approximately $6 thousand.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effects on the amounts relating to the Company’s total lease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4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payments</w:t>
            </w:r>
          </w:p>
        </w:tc>
        <w:tc>
          <w:tcPr>
            <w:tcW w:w="6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36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6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cost</w:t>
            </w:r>
          </w:p>
        </w:tc>
        <w:tc>
          <w:tcPr>
            <w:tcW w:w="50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tcBorders>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4"/>
          </w:tcPr>
          <w:p>
            <w:pPr>
              <w:ind w:left="1800"/>
              <w:spacing w:after="0"/>
              <w:rPr>
                <w:sz w:val="20"/>
                <w:szCs w:val="20"/>
                <w:color w:val="auto"/>
              </w:rPr>
            </w:pPr>
            <w:r>
              <w:rPr>
                <w:rFonts w:ascii="Times New Roman" w:cs="Times New Roman" w:eastAsia="Times New Roman" w:hAnsi="Times New Roman"/>
                <w:sz w:val="18"/>
                <w:szCs w:val="18"/>
                <w:color w:val="auto"/>
              </w:rPr>
              <w:t> F-26</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NOTES TO THE FINANCIAL STATEMENTS (continued)</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LEASES </w:t>
      </w:r>
      <w:r>
        <w:rPr>
          <w:rFonts w:ascii="Times New Roman" w:cs="Times New Roman" w:eastAsia="Times New Roman" w:hAnsi="Times New Roman"/>
          <w:sz w:val="18"/>
          <w:szCs w:val="18"/>
          <w:color w:val="auto"/>
        </w:rPr>
        <w:t>(continued):</w:t>
      </w:r>
    </w:p>
    <w:p>
      <w:pPr>
        <w:sectPr>
          <w:pgSz w:w="11900" w:h="16838" w:orient="portrait"/>
          <w:cols w:equalWidth="0" w:num="1">
            <w:col w:w="11240"/>
          </w:cols>
          <w:pgMar w:left="320" w:top="873"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flows used in operating leases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table below presents supplemental balance sheet information related to 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0" w:lineRule="exact"/>
        <w:rPr>
          <w:sz w:val="20"/>
          <w:szCs w:val="20"/>
          <w:color w:val="auto"/>
        </w:rPr>
      </w:pPr>
    </w:p>
    <w:p>
      <w:pPr>
        <w:jc w:val="both"/>
        <w:ind w:left="340"/>
        <w:spacing w:after="0"/>
        <w:tabs>
          <w:tab w:leader="none" w:pos="1640" w:val="left"/>
        </w:tabs>
        <w:rPr>
          <w:sz w:val="20"/>
          <w:szCs w:val="20"/>
          <w:color w:val="auto"/>
        </w:rPr>
      </w:pPr>
      <w:r>
        <w:rPr>
          <w:rFonts w:ascii="Times New Roman" w:cs="Times New Roman" w:eastAsia="Times New Roman" w:hAnsi="Times New Roman"/>
          <w:sz w:val="18"/>
          <w:szCs w:val="18"/>
          <w:color w:val="auto"/>
        </w:rPr>
        <w:t>1,099</w:t>
      </w:r>
      <w:r>
        <w:rPr>
          <w:sz w:val="20"/>
          <w:szCs w:val="20"/>
          <w:color w:val="auto"/>
        </w:rPr>
        <w:tab/>
      </w:r>
      <w:r>
        <w:rPr>
          <w:rFonts w:ascii="Times New Roman" w:cs="Times New Roman" w:eastAsia="Times New Roman" w:hAnsi="Times New Roman"/>
          <w:sz w:val="18"/>
          <w:szCs w:val="18"/>
          <w:color w:val="auto"/>
        </w:rPr>
        <w:t>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480"/>
        <w:spacing w:after="0"/>
        <w:tabs>
          <w:tab w:leader="none" w:pos="200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sectPr>
          <w:pgSz w:w="11900" w:h="16838" w:orient="portrait"/>
          <w:cols w:equalWidth="0" w:num="2">
            <w:col w:w="8340" w:space="720"/>
            <w:col w:w="21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64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12.77%</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414"/>
        </w:trPr>
        <w:tc>
          <w:tcPr>
            <w:tcW w:w="5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presents maturities of operating lease liabilities:</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0" w:type="dxa"/>
            <w:vAlign w:val="bottom"/>
            <w:gridSpan w:val="3"/>
            <w:vMerge w:val="restart"/>
          </w:tcPr>
          <w:p>
            <w:pPr>
              <w:jc w:val="right"/>
              <w:ind w:right="4180"/>
              <w:spacing w:after="0"/>
              <w:rPr>
                <w:sz w:val="20"/>
                <w:szCs w:val="20"/>
                <w:color w:val="auto"/>
              </w:rPr>
            </w:pPr>
            <w:r>
              <w:rPr>
                <w:rFonts w:ascii="Times New Roman" w:cs="Times New Roman" w:eastAsia="Times New Roman" w:hAnsi="Times New Roman"/>
                <w:sz w:val="18"/>
                <w:szCs w:val="18"/>
                <w:color w:val="auto"/>
              </w:rPr>
              <w:t> F-27</w:t>
            </w: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3"/>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98" w:name="page199"/>
    <w:bookmarkEnd w:id="1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NOTES TO THE FINANCIAL STATEMENTS (continued)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DEFERRED REVENUE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for the year ended December 31, 2025 and December 31, 2024:</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Deferred</w:t>
            </w:r>
          </w:p>
        </w:tc>
      </w:tr>
      <w:tr>
        <w:trPr>
          <w:trHeight w:val="245"/>
        </w:trPr>
        <w:tc>
          <w:tcPr>
            <w:tcW w:w="1002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 (*)</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in the reported period</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the business combination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in the reported period</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2025 (**)</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160" w:firstLine="8"/>
        <w:spacing w:after="0" w:line="498" w:lineRule="auto"/>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only short term deferred revenue in the Company’s consolidated balance sheets as of December 31, 2024 and January 1, 2024. ** Includes $17 thousand under long term deferred revenue in the Company’s consolidated balance sheets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SHORT-TERM LOAN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September 2021, Nanox Korea entered into a 3 year Loan agreement with a Korean Bank, according to which the Bank granted the Company a loan in the amount of $3.8 million. During September 2024, the loan was extended for an additional 12 months and during September 2025, December 2025, and March 2026, the loan was extended for an additional 3 months for each period. The original loan bears an annual interest at a rate of 3 months KORIBOR and 1.149%, the extensions bear fix rate, interest payments are due on a monthly basis and the principal is due at the end of the loan term. The bank received a floating charge on the Nanox Korea’s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w:t>
      </w:r>
    </w:p>
    <w:p>
      <w:pPr>
        <w:spacing w:after="0" w:line="17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2020, two securities class action complaints were filed in the United States District Court for the Eastern District of New York against the Company and certain then-current officers and a director, which were subsequently consolidated and captioned as </w:t>
      </w:r>
      <w:r>
        <w:rPr>
          <w:rFonts w:ascii="Times New Roman" w:cs="Times New Roman" w:eastAsia="Times New Roman" w:hAnsi="Times New Roman"/>
          <w:sz w:val="18"/>
          <w:szCs w:val="18"/>
          <w:i w:val="1"/>
          <w:iCs w:val="1"/>
          <w:color w:val="auto"/>
        </w:rPr>
        <w:t>White v. Nano-X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Imaging Ltd. et al.</w:t>
      </w:r>
      <w:r>
        <w:rPr>
          <w:rFonts w:ascii="Times New Roman" w:cs="Times New Roman" w:eastAsia="Times New Roman" w:hAnsi="Times New Roman"/>
          <w:sz w:val="18"/>
          <w:szCs w:val="18"/>
          <w:color w:val="auto"/>
        </w:rPr>
        <w:t>, Case No. 1:20-cv-04355 (the “White Action”), alleging violations of securities laws on behalf of all persons and entities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purchased or otherwise acquired the Company’s publicly traded securities between August 21, 2020 and September 15, 2020, and seeking unspecified damages. In addition, on October 5, 2021, a class action complaint was filed in the United States District Court for the Eastern District of New York against the Company and certain of its officers, captioned </w:t>
      </w:r>
      <w:r>
        <w:rPr>
          <w:rFonts w:ascii="Times New Roman" w:cs="Times New Roman" w:eastAsia="Times New Roman" w:hAnsi="Times New Roman"/>
          <w:sz w:val="18"/>
          <w:szCs w:val="18"/>
          <w:i w:val="1"/>
          <w:iCs w:val="1"/>
          <w:color w:val="auto"/>
        </w:rPr>
        <w:t>McLaughlin v. Nano-X Imaging Ltd. et al.</w:t>
      </w:r>
      <w:r>
        <w:rPr>
          <w:rFonts w:ascii="Times New Roman" w:cs="Times New Roman" w:eastAsia="Times New Roman" w:hAnsi="Times New Roman"/>
          <w:sz w:val="18"/>
          <w:szCs w:val="18"/>
          <w:color w:val="auto"/>
        </w:rPr>
        <w:t>, Case No. 1:21-cv-05517 (the “McLaughlin Action”). The amended complaint in that action, filed on April 12, 2022, alleges that defendants violated the federal securities laws in connection with certain disclosures concerning the cost of the Nanox.ARC system as well as the comparison of the Nanox.ARC to CT scanners, among other allegations. The Lead Plaintiff in the McLaughlin Action seeks to represent a class of investors who purchased the Company’s publicly-traded securities between August 21, 2020 and November 17, 2021. The Company entered into a term sheet on April 28, 2023, to settle all shareholder class action litigation related to the McLaughlin Action and the consolidated White Action. On June 2, 2023, the Company entered into a formal settlement agreement to settle the McLaughlin Action and the consolidated White Action for $8 million. On October 31, 2023, Magistrate Judge Kuo preliminarily approved the settlement and on February 15, 2024, held a final approval hearing, during which she requested that the parties submit updated settlement claims information by letter on or before February 29, 2024 for incorporation into a final report and recommendation. The parties submitted the letter on February 29, 2024, and on April 17, 2024, Magistrate Judge Kuo issued a report and recommendation recommending that Judge Kovner grant the motion for final approval of the settlement. On May 7, 2024, Judge Kovner entered an order adopting Magistrate Judge Kuo’s report and recommendation and finally approving the settlement. On May 10, 2024, the judgment was entered, and the case was dismissed with prejudice. Due to the settlement agreement, during December, 2023 the Company deposited $5 million and the D&amp;O insurance carrier deposited $3 million (The $3 million was recorded as other income in the consolidated statements of operations and comprehensive loss) in a trust account in connection with the settlement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COMMITMENTS AND CONTINGENCIES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Division of Enforcement of the U.S. Securities &amp; Exchange Commission (the “SEC” or the “Commission”) conducted an investigation to determine whether there had been any violations of the federal securities laws, relating to the development cost of the Company’s Nanox.ARC prototypes, as well as the Company’s estimate for the cost of assembling the final Nanox.ARC product at scale, among other things. The Company and Ran Poliakine, former Chairman of the Board of Directors of the Company, have reached final agreements with the SEC staff to settle this matter, which agreements were approved by the United States District Court for the Southern District of New York in October 2023. The Company paid a civil penalty in the amount of $650 recorded on Other expenses (income) and was permanently enjoined from violating Section 17(a)(2) of the Securities Act of 1933 (the “Securities Act”) and Section 13(a) of the Securities Exchange Act of 1934 (the “Exchange Act”) and Rules 12b-20 and 13a-1 thereunder. Mr. Poliakine paid disgorgement of $240, together with prejudgment interest of $27, paid a civil penalty of $150, and was permanently enjoined from violating Section 17(a)(2) of the Securities Act and aiding and abetting any violation of Section 13(a) of the Exchange Act and Rules 12b-20 and 13a-1 thereunder.</w:t>
      </w:r>
    </w:p>
    <w:p>
      <w:pPr>
        <w:spacing w:after="0" w:line="194"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May 1, 2023, the Company received a notice alleging several causes of action, including breach of a consulting agreement between the claimant and Nanox Imaging PLC (the “Gibraltar Entity”) that was entered into in 2015. The claimant’s demand from the Company is for the payment of approximately $1.26 million for unpaid consulting fees from the Gibraltar Entity and approximately $25 million connection with his claimed entitlement to securities in the Gibraltar Entity. On or about December 21, 2023, a claim was filed in Israel against the Company, the Gibraltar Entity and the late Mr. Ran Poliakine, based on allegations previously dismissed by a U.S. court In the State of California. The Company reiterates its strong denial of the plaintiff’s baseless claims and emphasizes that the Company was never a party to the consulting agreement with the plaintiff. In addition, the Company is not responsible for any potential liabilities of the Gibraltar Entity, which is a separate legal entity. On April 5, 2024, the Gibraltar Entity filed an amended claim and a request for an anti-suit injunction (“ASI”) in Gibraltar against the plaintiff. On November 18, 2024, the Gibraltar court granted the Gibraltar entity’s request and issued an ASI, preventing the plaintiff from continuing to pursue the present claim against the Gibraltar entity in Israel. As a result, the dispute between the plaintiff and the Gibraltar entity will be adjudicated before the Gibraltar court, in accordance with Gibraltar law.</w:t>
      </w:r>
    </w:p>
    <w:p>
      <w:pPr>
        <w:spacing w:after="0" w:line="19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January 2025, the plaintiff filed a new claim against the Company with the Gibraltar court, which was dismissed due to procedural defects. The plaintiff filed an additional claim against the Company, which was served on the Company on December 25, 2025. The Company decided not to contest the jurisdiction of the Gibraltar court and consent to the Gibraltar Jurisdiction, and will therefore submit a statement of defense in Gibraltar court. In light of the above, on February 1, 2026, the plaintiff filed with the court in Israel a motion seeking to dismiss the claim submitted against the Company in Israel and thereby close the proceedings in Israel. The Company has submitted its response to the motion, together with a request for an award of costs, on April 26, 2026, in which it argued that there was no basis to file the claim against it in the first place, as its adjudication is contingent upon a prior determination of the date of termination of the engagement between the Plaintiff and Gibraltar Entity, before the court in Gibraltar, and only thereafter, to the extent it is determined that a breach occurred (which is denied), could the claims against the Company, which are wholly denied, be addressed.</w:t>
      </w:r>
    </w:p>
    <w:p>
      <w:pPr>
        <w:spacing w:after="0" w:line="18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11, 2025, the Company received a letter from a shareholder detailing certain purported concerns and allegations relating to representations made during negotiations regarding a certain asset transaction. On April 19, 2026, the Company entered into a settlement agreement with said shareholder, pursuant to which the alleging shareholder, on its own behalf and on behalf of its shareholders, fully released us from any and all claims, including those mentioned in the shareholder’s letter, claims relating to the asset transaction, and claims relating to the relationship with the shareholder and its affiliates and shareholders. In return for the release, and without admission of any liability, the Company agreed to issue to the shareholder 450,000 ordinary shares.</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accrued an amount of $1,260 thousand in connection with the above referenced complaint. The accrual was recorded against other expenses, net in the consolidated statements operations and comprehensive loss.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IIA grants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the Innovation Law (formerly known as the Encouragement of Industrial Research and Development Law, 5744-1984) as currently in effect, Nanox AI is required to pay royalties to the IIA of 3% on sales of products and services based on technology and know-how developed using such IIA research and development grants, until 100% (which may be increased under certain circumstances) of the grant, linked to the U.S. dollar and bearing interest at the SOFR rate, is repaid. As of December 31, 2025, Nanox AI had paid royalties to the IIA in the amount of approximately $90 and had a remaining liability to the IIA of approximately $3.9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SHAREHOLDERS’ EQUITY:</w:t>
      </w:r>
    </w:p>
    <w:p>
      <w:pPr>
        <w:spacing w:after="0" w:line="225" w:lineRule="exact"/>
        <w:rPr>
          <w:sz w:val="20"/>
          <w:szCs w:val="20"/>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the Company’s ordinary shares, par value NIS 0.01 per share, is entitled to one vote. The holders of ordinary shares are also entitled to receive dividends whenever funds are legally available and declared by the Company’s Board of Directors (the “Board”). Since inception, the Company has not declared any dividends.</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number of authorized and issued and outstanding shares as of each reporting date for each class of shares: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00" w:type="dxa"/>
            <w:vAlign w:val="bottom"/>
            <w:gridSpan w:val="2"/>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69,590,228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63,762,001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69,590,228</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63,762,001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2023, the Company entered into a settlement with respect to any additional amount that could be granted under the Agreement, according to which the Company issued USARAD Holding Inc. former shareholders an additional 255,392 ordinary shares (representing additional consideration of approximately $1,561 thousand). As a result of the settlement, both parties’ performance obligations under the Agreement have been satisfied in full.</w:t>
      </w:r>
    </w:p>
    <w:p>
      <w:pPr>
        <w:spacing w:after="0" w:line="180"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July 26, 2023 the Company entered into a securities purchase agreement with a single institutional investor for the purchase and sale of 2,142,858 of the Company’s ordinary shares, par value NIS 0.01 per share together with warrants to purchase up to 2,142,858 ordinary shares at a combined purchase price of $14.00 per share, in a registered direct offering. The warrants have an exercise price of $19.00 per share, are exercisable immediately upon issuance and will expire five years from issuance. The Company accounts for the warrants in accordance with the guidance contained in Accounting Standards Codification 815 (“ASC 815”), “Derivatives and Hedging”. Accordingly, the warrants are considered indexed to the entity’s own stock and are classified within equity.</w:t>
      </w:r>
    </w:p>
    <w:p>
      <w:pPr>
        <w:spacing w:after="0" w:line="187"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June 7, 2024, the Company entered into a Controlled Equity OfferingSM Sales Agreement (the “Sales Agreement”) with Cantor Fitzgerald &amp; Co. and Mizuho Securities USA LLC (each individually, an “Agent” and collectively, the “Agents”) relating to the issuance and sale from time to time of the Company’s ordinary shares. In accordance with the terms of the Sales Agreement, the Company may offer and sell our ordinary shares having an aggregate offering price of up to $100 million from time to time through the Agents pursuant to the sales agreement. The Agents will be entitled to compensation at a commission rate of up to 2.5 % of the aggregate gross proceeds from each sale of ordinary shares. The Company issued 1,798,459 and 5,046,990 ordinary shares in gross consideration of $7.3 and $38.8 million and net consideration of $7.1 and $37.8 million for the years ended December 31, 2025, and 2024, respectively, under the Sales Agreement.</w:t>
      </w:r>
    </w:p>
    <w:p>
      <w:pPr>
        <w:spacing w:after="0" w:line="18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May 2025, the Company issued 116,226 ordinary shares in connection with the asset acquisition of MDWEB LLC, originally completed in 2021.</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shares were issued following the achievement of certain milestones in 2023, at which time the corresponding earn-out contingent liability was reclassified to equity.</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23, 2025, the Company entered into a securities purchase agreement (the “Purchase Agreement”) with a single institutional investor (the “Purchaser”) for the purchase and sale of 3,826,530 of the Company’s ordinary shares, par value NIS 0.01 per share (the “ordinary shares”) at a purchase price of $3.92 per share, in a registered direct offering. Gross consideration of $15 million and net consideration of $14.1 million were received from the purchase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2025, 74,027 options to purchase ordinary shares were exercised to ordinary shares in consideration of $163.</w:t>
      </w:r>
    </w:p>
    <w:p>
      <w:pPr>
        <w:spacing w:after="0" w:line="221" w:lineRule="exact"/>
        <w:rPr>
          <w:sz w:val="20"/>
          <w:szCs w:val="20"/>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3, 2019, the Company’s board of directors resolved to adopt an equity incentive plan (the “Plan”). Based on such plan, each option will be exercisable for one ordinary share of the Company and will become exercisable at such terms and during such periods, as the Company’s board of directors shall determine. Pursuant to the Plan (and further increase of option pool approved by the Company’s board of directors), 8,041,936 ordinary shares of NIS 0.01 par value of the Company are reserved for issuance upon the exercise of the same amount of awards to be granted to some of the Company’s employees, directors and consultants. On August 2024, the Board of Directors of the Company approved a further increase of option pool by 2,303,894 to 10,345,830 ordinary shares of NIS 0.01 par value of the Company that will be reserved for issuance upon the exercise of the same amount of awards to be granted to some of the Company’s employees, directors and consultants.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71"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SHAREHOLDERS’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3,141,940 ordinary shares reserved for the equity incentive plan. The Company’s board of directors also approved the Plan for the purpose of selecting the capital gains tax track, under Section 102 of the Israeli Income Tax Ordinance, for options granted to the Company’s Israeli employees.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2025, there is an unrecognized share-based compensation expense of $6,028 thousand to be recognized over the average remaining vesting period of 1.75 years.</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During 2025, the Company granted certain employees, officers and directors awards to purchase 316,970 of the Company’s ordinary shares for an average exercise price of $11.54. The Company’s stock options have a term of 10 years from grant date. The granted options generally vest as follows: 25% on the first anniversary from the “Vesting Start Date” as defined in the grant agreement and remainder vest ratably over the following 12 quarters. Included in the awards are 87,720 RSUs that were granted to certain members of the Board of Directors of the Company on December 10, 2025. The Company recorded an expense of $106 thousand attributable to RSUs awards during the reporting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following table summarizes share-based awards for the period ended December 31,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share-based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 (in</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 Dollar)</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4,447,876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(254,659)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4,423,175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Aggregate intrinsic value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3,633,213</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Aggregate intrinsic value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fair value of each granted award is estimated at the date of grant using the Black-Scholes option-pricing model. The assumptions used for the year ended December 31, 2025 and year ended at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38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3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73.09%</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- 82.16%</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80.19%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- 82.66%</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- 4.53%</w:t>
            </w:r>
          </w:p>
        </w:tc>
        <w:tc>
          <w:tcPr>
            <w:tcW w:w="100" w:type="dxa"/>
            <w:vAlign w:val="bottom"/>
            <w:shd w:val="clear" w:color="auto" w:fill="CCEEFF"/>
          </w:tcPr>
          <w:p>
            <w:pPr>
              <w:spacing w:after="0"/>
              <w:rPr>
                <w:sz w:val="18"/>
                <w:szCs w:val="18"/>
                <w:color w:val="auto"/>
              </w:rPr>
            </w:pPr>
          </w:p>
        </w:tc>
      </w:tr>
      <w:tr>
        <w:trPr>
          <w:trHeight w:val="23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6.25 - 10</w:t>
            </w:r>
          </w:p>
        </w:tc>
        <w:tc>
          <w:tcPr>
            <w:tcW w:w="22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6.25 - 10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expected volatility is based on the combination of the historical volatility of the Company (with weigh of 50%) and comparable companies (with weigh of 50%) according to the available data. The risk-free interest rate assumption is based on observed interest rates appropriate for the expected term of the awards granted in dollar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SHAREHOLDERS’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information concerning outstanding and exercisable awards as of December 31, 2025:</w:t>
      </w: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Awards outstanding</w:t>
            </w:r>
          </w:p>
        </w:tc>
        <w:tc>
          <w:tcPr>
            <w:tcW w:w="20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360" w:type="dxa"/>
            <w:vAlign w:val="bottom"/>
            <w:tcBorders>
              <w:top w:val="single" w:sz="8" w:color="auto"/>
              <w:bottom w:val="single" w:sz="8" w:color="auto"/>
            </w:tcBorders>
            <w:gridSpan w:val="3"/>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Awards exercisable</w:t>
            </w:r>
          </w:p>
        </w:tc>
        <w:tc>
          <w:tcPr>
            <w:tcW w:w="100" w:type="dxa"/>
            <w:vAlign w:val="bottom"/>
          </w:tcPr>
          <w:p>
            <w:pPr>
              <w:spacing w:after="0"/>
              <w:rPr>
                <w:sz w:val="21"/>
                <w:szCs w:val="21"/>
                <w:color w:val="auto"/>
              </w:rPr>
            </w:pPr>
          </w:p>
        </w:tc>
      </w:tr>
      <w:tr>
        <w:trPr>
          <w:trHeight w:val="194"/>
        </w:trPr>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22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30"/>
        </w:trPr>
        <w:tc>
          <w:tcPr>
            <w:tcW w:w="400" w:type="dxa"/>
            <w:vAlign w:val="bottom"/>
          </w:tcPr>
          <w:p>
            <w:pPr>
              <w:spacing w:after="0"/>
              <w:rPr>
                <w:sz w:val="19"/>
                <w:szCs w:val="19"/>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at end of</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at end of</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45"/>
        </w:trPr>
        <w:tc>
          <w:tcPr>
            <w:tcW w:w="400" w:type="dxa"/>
            <w:vAlign w:val="bottom"/>
          </w:tcPr>
          <w:p>
            <w:pPr>
              <w:spacing w:after="0"/>
              <w:rPr>
                <w:sz w:val="21"/>
                <w:szCs w:val="21"/>
                <w:color w:val="auto"/>
              </w:rPr>
            </w:pPr>
          </w:p>
        </w:tc>
        <w:tc>
          <w:tcPr>
            <w:tcW w:w="18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 (years)</w:t>
            </w:r>
          </w:p>
        </w:tc>
      </w:tr>
      <w:tr>
        <w:trPr>
          <w:trHeight w:val="216"/>
        </w:trPr>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2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1,493,781</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1,493,781</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11.06</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14,000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11.52</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549,500</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266,562</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16.00</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45,000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17.63</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1,067,384</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698,058</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23.19</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210,000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210,000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23.84</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509,768</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491,018</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23.86</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53,100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30.66</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26,400</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26,400</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20,000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40.21</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32,600</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32,600</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49.68</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233,000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233,000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64.61</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25,010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25,010</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bl>
    <w:p>
      <w:pPr>
        <w:spacing w:after="0" w:line="198" w:lineRule="exact"/>
        <w:rPr>
          <w:sz w:val="20"/>
          <w:szCs w:val="20"/>
          <w:color w:val="auto"/>
        </w:rPr>
      </w:pPr>
    </w:p>
    <w:p>
      <w:pPr>
        <w:jc w:val="both"/>
        <w:ind w:left="340" w:hanging="339"/>
        <w:spacing w:after="0" w:line="282" w:lineRule="auto"/>
        <w:tabs>
          <w:tab w:leader="none" w:pos="320" w:val="left"/>
        </w:tabs>
        <w:rPr>
          <w:sz w:val="20"/>
          <w:szCs w:val="20"/>
          <w:color w:val="auto"/>
        </w:rPr>
      </w:pPr>
      <w:r>
        <w:rPr>
          <w:rFonts w:ascii="Times New Roman" w:cs="Times New Roman" w:eastAsia="Times New Roman" w:hAnsi="Times New Roman"/>
          <w:sz w:val="18"/>
          <w:szCs w:val="18"/>
          <w:color w:val="auto"/>
        </w:rPr>
        <w:t>*)</w:t>
        <w:tab/>
        <w:t>Including 8,611 RSUs that were granted to the employees of Nanox AI at the completion of the merger and 132,021 RSUs that were issued in consideration for services.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  Share-based compensation expenses</w:t>
            </w:r>
          </w:p>
        </w:tc>
        <w:tc>
          <w:tcPr>
            <w:tcW w:w="2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52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2,480</w:t>
            </w:r>
          </w:p>
        </w:tc>
      </w:tr>
      <w:tr>
        <w:trPr>
          <w:trHeight w:val="223"/>
        </w:trPr>
        <w:tc>
          <w:tcPr>
            <w:tcW w:w="452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 F-32</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w:t>
      </w:r>
    </w:p>
    <w:p>
      <w:pPr>
        <w:spacing w:after="0" w:line="225" w:lineRule="exact"/>
        <w:rPr>
          <w:sz w:val="20"/>
          <w:szCs w:val="20"/>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taxation</w:t>
      </w:r>
    </w:p>
    <w:p>
      <w:pPr>
        <w:spacing w:after="0" w:line="229" w:lineRule="exact"/>
        <w:rPr>
          <w:rFonts w:ascii="Times New Roman" w:cs="Times New Roman" w:eastAsia="Times New Roman" w:hAnsi="Times New Roman"/>
          <w:sz w:val="18"/>
          <w:szCs w:val="18"/>
          <w:b w:val="1"/>
          <w:bCs w:val="1"/>
          <w:color w:val="auto"/>
        </w:rPr>
      </w:pPr>
    </w:p>
    <w:p>
      <w:pPr>
        <w:jc w:val="both"/>
        <w:ind w:left="9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tax is calculated with reference to the profit of the Company and its subsidiaries in their respective countries of operation. Set out below are details in respect of the significant jurisdictions where the Company and its subsidiaries operate and the factors that influenced the current and deferred taxation in those jurisdictions:</w:t>
      </w:r>
    </w:p>
    <w:p>
      <w:pPr>
        <w:spacing w:after="0" w:line="17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Nanox AI Ltd are taxed under the laws of the State of Israel at a corporate tax rate of 23%.</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2024 and 2023, the Company is at a loss position and therefore has no corporate tax liability. As of December 31, 2025, 2024 and 2023, the Company has a carry forward loss of approximately $181 million, $108.1 million and $93.3 million, respectively. Such carry forward loss has no expiration date.</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2024 and 2023, Nanox AI Ltd. is at a loss position and therefore has no corporate tax liability. As of December 31, 2025, 2024 and 2023, Nanox AI Ltd. has a carry forward loss of approximately $93.7 million, $80.1 million and $74.7 million, respectively. Such carry forward loss has no expiration date.</w:t>
      </w:r>
    </w:p>
    <w:p>
      <w:pPr>
        <w:spacing w:after="0" w:line="17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federal tax rate applicable to the U.S. subsidiaries is 21%. As of December 31, 2025, the US subsidiaries have a consolidated carry forward loss of approximately $1.3 million. Such carry forward loss is subject to 382 limitation and has no expiration date.</w:t>
      </w:r>
    </w:p>
    <w:p>
      <w:pPr>
        <w:spacing w:after="0" w:line="15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Korea</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 Korea is subject to a Corporate income tax with accordance with the Korean tax law. The tax rate ranges between 10% to 25%, depending on the companies’ taxable income. In addition, Nanox Korea is subject to 10% of the Korean corporation income tax as its local income tax. In 2025, Nanox Korea was at a loss position and therefore had no corporate tax liability. As of December 31, 2025, 2024 and 2023, Nanox Korea has a carry forward loss of approximately $40.1 million, $30.3 million and $21.8 million, respectively. Such carry forward loss has 15 years expiration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INCOME TAX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(loss) before income taxes: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(loss) before income taxes consisted of the following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(Israel)</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7"/>
              </w:rPr>
              <w:t>(44,940)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4"/>
              </w:rPr>
              <w:t>(39,285)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(44,158)</w:t>
            </w: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(31,870)</w:t>
            </w:r>
          </w:p>
        </w:tc>
        <w:tc>
          <w:tcPr>
            <w:tcW w:w="13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(14,589)</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(16,957)</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(76,810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93"/>
              </w:rPr>
              <w:t>(53,874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(benefit) consisted of the following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(Israel)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Taxes on income for the years ended December 31, 2025, 2024 and 2023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expenses:</w:t>
            </w:r>
          </w:p>
        </w:tc>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5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5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5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3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 F-34</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12 — INCOME TAX </w:t>
            </w:r>
            <w:r>
              <w:rPr>
                <w:rFonts w:ascii="Times New Roman" w:cs="Times New Roman" w:eastAsia="Times New Roman" w:hAnsi="Times New Roman"/>
                <w:sz w:val="18"/>
                <w:szCs w:val="18"/>
                <w:color w:val="auto"/>
              </w:rPr>
              <w:t>(continued):</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The following table presents income taxes paid, net of refunds: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U.S. state</w:t>
            </w:r>
          </w:p>
        </w:tc>
        <w:tc>
          <w:tcPr>
            <w:tcW w:w="8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paid</w:t>
            </w: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is a reconciliation of the income tax provision and the Israeli statutory tax rate to the Company’s effective income tax rate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Statutory Tax Rate in Israel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(1,071)</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Earn out liability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(942)</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Difference resulting from the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measurement basis for tax</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purposes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1,301</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(1,559)</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15,158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Difference resulting from the</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measurement basis for tax purposes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(5,507)</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661</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000000"/>
          </w:tcPr>
          <w:p>
            <w:pPr>
              <w:spacing w:after="0"/>
              <w:rPr>
                <w:sz w:val="2"/>
                <w:szCs w:val="2"/>
                <w:color w:val="auto"/>
              </w:rPr>
            </w:pPr>
          </w:p>
        </w:tc>
        <w:tc>
          <w:tcPr>
            <w:tcW w:w="320" w:type="dxa"/>
            <w:vAlign w:val="bottom"/>
            <w:vMerge w:val="restart"/>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5"/>
              </w:rPr>
              <w:t>)%</w:t>
            </w: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5"/>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48"/>
        </w:trPr>
        <w:tc>
          <w:tcPr>
            <w:tcW w:w="3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vMerge w:val="continue"/>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vMerge w:val="continue"/>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6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(1,792</w:t>
            </w:r>
          </w:p>
        </w:tc>
        <w:tc>
          <w:tcPr>
            <w:tcW w:w="1100" w:type="dxa"/>
            <w:vAlign w:val="bottom"/>
            <w:tcBorders>
              <w:right w:val="single" w:sz="8" w:color="CCEEFF"/>
            </w:tcBorders>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4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(358</w:t>
            </w:r>
          </w:p>
        </w:tc>
        <w:tc>
          <w:tcPr>
            <w:tcW w:w="110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6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(339</w:t>
            </w:r>
          </w:p>
        </w:tc>
        <w:tc>
          <w:tcPr>
            <w:tcW w:w="10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assets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deferred tax assets and liabilities as of December 31, 2025 and 2024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5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4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50,070</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and payroll accrued expenses</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r>
      <w:tr>
        <w:trPr>
          <w:trHeight w:val="24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03"/>
        </w:trPr>
        <w:tc>
          <w:tcPr>
            <w:tcW w:w="4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4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82,849</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56,118</w:t>
            </w:r>
          </w:p>
        </w:tc>
        <w:tc>
          <w:tcPr>
            <w:tcW w:w="100" w:type="dxa"/>
            <w:vAlign w:val="bottom"/>
            <w:tcBorders>
              <w:top w:val="single" w:sz="8" w:color="CCEEFF"/>
            </w:tcBorders>
          </w:tcPr>
          <w:p>
            <w:pPr>
              <w:spacing w:after="0"/>
              <w:rPr>
                <w:sz w:val="17"/>
                <w:szCs w:val="17"/>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(12,916)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(15,131)</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68,706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40,091</w:t>
            </w:r>
          </w:p>
        </w:tc>
      </w:tr>
      <w:tr>
        <w:trPr>
          <w:trHeight w:val="24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(68,706)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(40,091)</w:t>
            </w:r>
          </w:p>
        </w:tc>
      </w:tr>
      <w:tr>
        <w:trPr>
          <w:trHeight w:val="210"/>
        </w:trPr>
        <w:tc>
          <w:tcPr>
            <w:tcW w:w="4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assets</w:t>
            </w:r>
          </w:p>
        </w:tc>
        <w:tc>
          <w:tcPr>
            <w:tcW w:w="4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4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 F-35</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INCOME TAX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 its valuation allowance periodically and if future evidence allows for a partial or full release of the valuation allowance, a tax benefit will be recorded accordingly.</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has recorded a full valuation allowance of $68,706 and $40,091 thousand with regard to its deferred taxes, respectively.</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660" w:right="520" w:hanging="652"/>
        <w:spacing w:after="0" w:line="500" w:lineRule="auto"/>
        <w:tabs>
          <w:tab w:leader="none" w:pos="3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Most of the change in valuation allowance increase derives from tax loss carryforwards and exchange rate differences. </w:t>
      </w:r>
      <w:r>
        <w:rPr>
          <w:rFonts w:ascii="Times New Roman" w:cs="Times New Roman" w:eastAsia="Times New Roman" w:hAnsi="Times New Roman"/>
          <w:sz w:val="18"/>
          <w:szCs w:val="18"/>
          <w:b w:val="1"/>
          <w:bCs w:val="1"/>
          <w:color w:val="auto"/>
        </w:rPr>
        <w:t>f. Tax assessments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40,091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28,615</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68,706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56" w:lineRule="exact"/>
        <w:rPr>
          <w:sz w:val="20"/>
          <w:szCs w:val="20"/>
          <w:color w:val="auto"/>
        </w:rPr>
      </w:pPr>
    </w:p>
    <w:p>
      <w:pPr>
        <w:sectPr>
          <w:pgSz w:w="11900" w:h="16838" w:orient="portrait"/>
          <w:cols w:equalWidth="0" w:num="2">
            <w:col w:w="9380" w:space="720"/>
            <w:col w:w="1140"/>
          </w:cols>
          <w:pgMar w:left="320" w:top="873" w:right="339" w:bottom="1440" w:gutter="0" w:footer="0" w:header="0"/>
          <w:type w:val="continuous"/>
        </w:sect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 is currently in the process of routine Israeli income tax audit for the tax years 2020 through 2022. In 2023, the Company concluded a VAT audit for the years 2019 through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SEGMENTS OF OPERATIONS: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the Company’s Chief Executive Officer (the “CODM”), who makes resource allocation decisions and assesses performance based on financial information prepared on a consolidated basis, accompanied by disaggregated information about revenues, gross profit (loss) and operating loss by the three identified reportable segments.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CODM uses gross profit (loss) and operating loss for each segment predominantly in the annual budget and forecasting process. The CODM considers budget-to-actual variances on a quarterly basis for all measures when making decisions about the allocation of operating and capital resources to each segment.</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The management approach designates the internal reporting used by management for making decisions and assessing performance as the source of the Company’s reportable operating segments. The Company manages its business primarily on a service basis. The Company’s reportable segments consist of the Nanox.ARC division, the radiology services division and the AI and software solutions division. Each one is managed separately to better align with the Company’s customers and distribution partners and the unique market dynamics of each segment. Operating loss for each segment includes revenues from third parties, related cost of revenues and operating expenses directly attributable to the segment. The Company does not include intercompany transfers between segments for management reporting.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Nanox health IT Inc.’s operational results are included in the AI and software solutions segment.</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Total assets reviewed include marketable securities although their profit or loss are not included in the measurements of the reportable segments’ loss.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 SEGMENTS OF OPERATIONS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policies of the various segments are the same as those described in Note 2, “Summary of Significant Accounting Policies.”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AI and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Nanox.</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Radiology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software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ARC</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gross profit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(12,788)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(62,962)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(76,810)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93,198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segment’s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r>
    </w:tbl>
    <w:p>
      <w:pPr>
        <w:spacing w:after="0" w:line="198" w:lineRule="exact"/>
        <w:rPr>
          <w:sz w:val="20"/>
          <w:szCs w:val="20"/>
          <w:color w:val="auto"/>
        </w:rPr>
      </w:pPr>
    </w:p>
    <w:p>
      <w:pPr>
        <w:ind w:left="340" w:hanging="332"/>
        <w:spacing w:after="0" w:line="282"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Nanox.Arc – impairment of long-lived assets, other expense, net in connection with settlement with a shareholder (see Note 10), loss from disposal of property and equipment and rent income.</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and software Solutions - change in contingent earnout liability.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AI and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Nanox.</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Radiology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software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ARC</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gross profit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(41,591)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(56,746)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income from sale of marketable securities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(53,874)</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132,914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210,002</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segment’s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r>
    </w:tbl>
    <w:p>
      <w:pPr>
        <w:spacing w:after="0" w:line="206" w:lineRule="exact"/>
        <w:rPr>
          <w:sz w:val="20"/>
          <w:szCs w:val="20"/>
          <w:color w:val="auto"/>
        </w:rPr>
      </w:pPr>
    </w:p>
    <w:p>
      <w:pPr>
        <w:ind w:left="5440" w:right="5360" w:hanging="5405"/>
        <w:spacing w:after="0" w:line="814" w:lineRule="auto"/>
        <w:tabs>
          <w:tab w:leader="none" w:pos="3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Nanox.Arc – loss from disposal of property and equipment and rent income.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68"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13 — SEGMENTS OF OPERATIONS </w:t>
            </w:r>
            <w:r>
              <w:rPr>
                <w:rFonts w:ascii="Times New Roman" w:cs="Times New Roman" w:eastAsia="Times New Roman" w:hAnsi="Times New Roman"/>
                <w:sz w:val="18"/>
                <w:szCs w:val="18"/>
                <w:color w:val="auto"/>
              </w:rPr>
              <w:t>(continued):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AI and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8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Nanox.</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Radiology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software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ARC</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gross profit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(41,866)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(62,589)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from sale of marketable securities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(61,115)</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5,678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130,665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218,648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segment’s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Other segment items for each reportable segment includes: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Nanox.Arc – Other income, net in connection with legal proceedings (see Note 10) and loss from disposal of property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Radiology Services – goodwill impairment and change in contingent earnout liability.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 and software Solutions – goodwill impairment.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Company’s revenues in the United States constituted approximately 98%, 98%, and 99% of the Company’s total revenue, respectively. For the years ended December 31, 2025, 2024 and 2023, no individual customer exceeded 10% of the Company’s total revenue or total accounts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Long-lived assets by geography</w:t>
            </w:r>
          </w:p>
        </w:tc>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20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3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4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16,520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38,921</w:t>
            </w: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r>
        <w:trPr>
          <w:trHeight w:val="210"/>
        </w:trPr>
        <w:tc>
          <w:tcPr>
            <w:tcW w:w="420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33,195</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49,198</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46,916</w:t>
            </w:r>
          </w:p>
        </w:tc>
        <w:tc>
          <w:tcPr>
            <w:tcW w:w="100" w:type="dxa"/>
            <w:vAlign w:val="bottom"/>
            <w:tcBorders>
              <w:top w:val="single" w:sz="8" w:color="CCEEFF"/>
            </w:tcBorders>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color w:val="auto"/>
              </w:rPr>
              <w:t> F-38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LOSS PER SHARE:</w:t>
      </w:r>
    </w:p>
    <w:p>
      <w:pPr>
        <w:spacing w:after="0" w:line="225" w:lineRule="exact"/>
        <w:rPr>
          <w:sz w:val="20"/>
          <w:szCs w:val="20"/>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calculated by dividing the loss attributable to the Company’s owners by the weighted average number of ordinary shares in issue.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Company’s owners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weighted average of the number of ordinary shares (in thousands)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64,790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58,673</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For the calculation of loss per share, the Company used the net loss attributable to Company’s owners divided by the weighted average number of the Company’s ordinary shares for the years ended December 31, 2025, 2024 and 2023.</w:t>
      </w:r>
    </w:p>
    <w:p>
      <w:pPr>
        <w:spacing w:after="0" w:line="158" w:lineRule="exact"/>
        <w:rPr>
          <w:sz w:val="20"/>
          <w:szCs w:val="20"/>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Diluted</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Company had 2,142,858 and 4,455,301 outstanding warrants, respectively, and 4,414,564 and 4,387,683 outstanding options and RSUs, respectively. These warrants and awards were not considered when calculating diluted loss per share since their effect is anti-dilutive. In addition, during 2023 contingently issuable ordinary shares that were issuable based on certain conditions were not included in the potential dilutive shares in calculating the diluted loss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5"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plan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2026, the Company adopted a restructuring plan intended to better align its manufacturing cost structure with its long-term financial model, support its path toward improved gross margins, and align its manufacturing capabilities with current and anticipated business needs and the Company’s strategic priorities.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this plan and the Company’s broader cost reduction efforts, the Company is restructuring its manufacturing footprint to improve gross margins, reduce capital expenditures, and enhance operational efficiency. This includes transitioning away from certain manufacturing activities at its facility in South Korea, starting in the fourth quarter of 2025, and moving from a company-owned manufacturing model to a more fully outsourced approach.</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plan, the Company intends to downsize its fabrication facilities, and transfer certain production activities to third-party international manufacturing partners. Following these changes, the Company intends to focus its operations in South Korea on research and development (R&amp;D) and tube production activities that support the Nanox.ARC platform. The restructuring is expected to be substantially completed during fiscal year 2026 with approximately $500 thousands restructuring charges that will be recorded during fiscal year 2026.</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RSU grant</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2026, the Company granted officers, employees and consultants of the Company a total of 1,026,235 RSUs.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NANO-X IMAGING LTD had one class of securities registered under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our ordinary shares. References herein to “we,” “us,” “our” and the “Company” refer to NANO-X IMAGING LTD. and not to any of its subsidiaries. The following description may not contain all of the information that is important to you, and we therefore refer you to our amended and restated articles of association (our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 copy of which is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an exhibit to this annual report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registration number with the Israeli Registrar of Companies is 515942076. Our purpose as set forth in our amended and restated articles of association is to engage in any lawful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share capital consists of 100,000,000 ordinary shares, par value NIS 0.01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our outstanding ordinary shares are validly issued, fully paid and non-assessable. Our ordinary shares are not redeemable and do not have any preemptive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liability of each shareholder for the Company’s obligations is limited to the unpaid sum, if any, owing to the Company in consideration for the issuance of the shares held by such shareholder. If at any time the Company shall issue shares with no nominal value, the liability of the Shareholders shall be limited to the payment of the amount which the Shareholders should have paid the Company in respect of each share in accordance with the conditions of such issuance and was not paid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shareholders meeting have the power to elect our directors (except the External Directors (as defined in the Israel Companies Law, 5759– 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to the extent elected).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Articles, the number of directors on our board of directors must be no less than five and no more than ten (in each case including at least two External Directors, as defined in the Companies Law, to the extent appointed). Subject to the aforesaid, the number of directors shall be determined, from time to time, by a majority of the Directors then in office; provided that no determination in respect of a decrease in the number of directors shall shorten the term of any incumbent director.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vote required to appoint a director is a simple majority vote (other than the External Directors, to the extent elected). In addition, under our Articles, our board of directors may elect new directors to fill vacancies (whether such vacancy is due to a director no longer serving or due to the number of directors serving being less than the maximum required in our Articles), provided that the total number of directors shall not, at any time, exceed ten. Our Articles provide that the term of a director appointed by our board of directors to fill any vacancy will be for the remaining term of office of the director(s) whose office(s) have been vacated, or in case of a vacancy due to the number of Directors serving being less than the maximum number stated in the Articles, the Board shall determine at the time of appointment the class pursuant to the Articles to which the additional director shall be assigned. Furthermore, under our Articles, our directors (other than the External Directors, to the extent elected), are divided into three classes with staggered three-year terms, in a way that at each Annual General Meeting the term of office of only one class of Directors will expire. Each class of directors consists, as nearly as possible, of 1/3 of the total number of directors constituting the entire board of directors (other than External Directors, to the extent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we anticipate that, for the foreseeable future, we will retain any future earnings to support operations and to finance the growth and development of our business. Therefore, we do not expect to pay cash dividends for at least the next several years.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The distribution of dividends may also be limited by the Companies Law, which permits the distribution of dividends only out of retained earnings or earnings derived over the two most recent fiscal years, whichever is higher, provided that there is no reasonable concern that payment of a dividend will prevent a company from satisfying its existing and foreseeable obligations as they become due. In the event that we do not have retained earnings or earnings generated over the two most recent years legally available for distribution, we must seek the approval of the court in order to distribute a dividend. The court may approve our request if it is convinced that there is no reasonable concern that the payment of a dividend will prevent us from satisfying our existing and foreseeable obligations as they become due;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 Our Articles provide that dividends will be paid at the discretion of, and upon resolution by, our board of directors, subject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Companies Law.</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and other payments due as per applicable law,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 of certain countries that have been, or are considered to be,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Our Articles contain procedural guidelines and disclosure items with respect to the submission of shareholder proposals for shareholder meetings.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sixty days prior to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resolutions regarding the following matters must be passed at a general meeting of shareholders:</w:t>
      </w:r>
    </w:p>
    <w:p>
      <w:pPr>
        <w:spacing w:after="0" w:line="225"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amended and restated articles of association;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fees or termination of the auditors, if the shareholders have not delegated their authority to set the fees for the auditors to the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related-party transactions requiring general meeting approval pursuant to the provisions of the Companies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(as such term is defined in the Companies Law);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Articles, we are required to give notice to our registered shareholders not less than 21 days prior to the meeting. The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Companies Law, shareholders of a public company are not permitted to take action by written consent in lieu of a meeting. Under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ordinary shares have identical voting and other rights in all respects.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Articles, holders of our ordinary shares have one vote for each ordinary share held on all matters submitted to a vote before the shareholders at a general meeting. In any meeting of shareholders, we will follow the quorum requirements for general meetings as set forth in our Articles, instead of one-third of the issued share capital as required under the Nasdaq Marketplace Rules. Pursuant to our Articles, the quorum required for our general meetings of shareholders will consist of at least two shareholders present in person or by proxy (including by voting deed) and holding shares conferring in the aggregate at least 25% of the voting power of the Company.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subject to a limited exception, any number of shareholders present in person or by proxy shall constitute a lawful quorum.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i w:val="1"/>
          <w:iCs w:val="1"/>
          <w:color w:val="auto"/>
        </w:rPr>
        <w:t>Vote Requirements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provide that all resolutions of our shareholders require a simple majority vote, unless otherwise required by the Companies Law or by our Articles. Pursuant to our Articles, an amendment to our Articles regarding any change of the composition or election procedures of our directors and the removal of a director from office will require a special shareholders majority of at least two-thirds of the voting power represented at the meeting in person or by proxy and voting thereon. Under the Companies Law, among others, each of (i) the approval of an extraordinary transaction with a controlling shareholder and (ii) the terms of employment or other engagement of the controlling shareholder of the company or such controlling shareholder’s relative (even if such terms are not extraordinary) requires special approval and certain transactions with respect to remuneration of our officers and directors, the approval and extension of a compensation policy and certain deviations therefrom require further approvals. Under our Articles, any change to the rights and privileges of the holders of any class of our shares requires a simple majority at a separate meeting of the class so affected (or such other percentage of the relevant class that may be set forth in the governing documents relevant to such class), in addition to the ordinary majority vote of all classes of shares voting together as a single class at a shareholder meeting. Another exception to the simple majority vote requirement is a resolution for an approval of a scheme of arrangement or reorganization, of the company pursuant to Section 350 of the Companies Law, that governs the settlement of debts and reorganization of a company, which requires the approval of holders of 75% of the voting rights represented at the meeting, in person, by proxy or by voting deed and voting on the resolution.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Corporate Records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generally have the right to review minutes of our general meetings, our shareholders register and material shareholders register, our amended and restated articles of association, our annual audited financial statements and any document that we are required by law to file publicly with the Israeli Registrar of Companies or the Israel Securities Authority. In addition, any shareholder who specifies the purpose of their request may request to review any document related to an action or transaction requiring shareholder approval under the related party transaction provisions of the Companies Law. We may deny this request if we believe it has not been made in good faith or if such denial is necessary to protect our interests or protect a trade secret or patent.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Class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 in addition to the ordinary majority vote of all classes of voting shares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Full Tender Offer</w:t>
      </w:r>
      <w:r>
        <w:rPr>
          <w:rFonts w:ascii="Times New Roman" w:cs="Times New Roman" w:eastAsia="Times New Roman" w:hAnsi="Times New Roman"/>
          <w:sz w:val="18"/>
          <w:szCs w:val="18"/>
          <w:color w:val="auto"/>
        </w:rPr>
        <w:t>. A person wishing to acquire shares of an Israeli public company and who would as a result hold over 90% of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voting rights or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voting rights or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 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full tender offer was not accepted in accordance with the above alternatives, the acquirer may not acquire shares of the company that will increase its holdings to more than 90% of the company’s voting rights or issued and outstanding share capital or of the applicable class from shareholders who accepted the tender offer.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4" w:name="page215"/>
    <w:bookmarkEnd w:id="214"/>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Special Tender Offer</w:t>
      </w:r>
      <w:r>
        <w:rPr>
          <w:rFonts w:ascii="Times New Roman" w:cs="Times New Roman" w:eastAsia="Times New Roman" w:hAnsi="Times New Roman"/>
          <w:sz w:val="18"/>
          <w:szCs w:val="18"/>
          <w:color w:val="auto"/>
        </w:rPr>
        <w:t>. The Companies Law provides that an acquisition of shares of an Israeli public company must be made by means of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offer if as a result of the acquisition the purchaser would become a holder of 25% or more of the voting rights in the company (subject to certain exceptions).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 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by shareholders who accept the offer exceeds the number of shares whose holders objected to the offer (excluding the purchaser and its controlling shareholders,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(i) shareholders who did not respond to or that had objected to the offer may accept the offer within four days of the last date set for the acceptance of the offer and they will be considered to have accepted the offer from the first day it was made, and (ii)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Shares purchased in contradiction to the tender offer rules under the Companies Law, as described above, will have no rights and will become dormant shares.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Companies Law permits merger transactions if approved by each party’s board of directors and, unless certain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under the Companies Law are met, by a majority vote of each party’s shares, and, in the case of the target company, a majority vote of each class of its shares voted on the proposed merger at a shareholders meeting.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Under the Companies Law, each merging company must deliver the merger proposal to its secured creditors and inform its unsecured creditors of the merger proposal and its content.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target company.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 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 Israeli tax law treats some acquisitions, such as share for share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share-for-share swap.</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represented at a general meeting. The convening of the meeting, the shareholders entitled to participate and the majority vote required to be obtained at such a meeting will be subject to the requirements set forth in the Companies Law and our Articles as described above under “—Voting Rights.” In addition, we have a classified board structure, which will effectively limit the ability of any investor or potential investor or group of investors or potential investors to gain control of our board of directors, as disclosed under “Item 6. Directors, Senior Management and Employees—C. Board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and our Articles,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enable us to increase or reduce our share capital. Any such changes are subject to the provisions of the Companies Law and must be approved by a resolution duly adopted by our shareholders at a general meeting.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provide that the federal district courts of the United States of America will, to the fullest extent permitted by law, be the exclusive forum for resolving any complaint asserting a cause of action arising under the Securities Act (the “</w:t>
      </w:r>
      <w:r>
        <w:rPr>
          <w:rFonts w:ascii="Times New Roman" w:cs="Times New Roman" w:eastAsia="Times New Roman" w:hAnsi="Times New Roman"/>
          <w:sz w:val="18"/>
          <w:szCs w:val="18"/>
          <w:b w:val="1"/>
          <w:bCs w:val="1"/>
          <w:color w:val="auto"/>
        </w:rPr>
        <w:t>Federal Forum Provision</w:t>
      </w:r>
      <w:r>
        <w:rPr>
          <w:rFonts w:ascii="Times New Roman" w:cs="Times New Roman" w:eastAsia="Times New Roman" w:hAnsi="Times New Roman"/>
          <w:sz w:val="18"/>
          <w:szCs w:val="18"/>
          <w:color w:val="auto"/>
        </w:rPr>
        <w:t>”). While there can be no assurance that U.S. federal or state courts or Israeli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 The Federal Forum Provision does not apply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also must be brought in federal court. Our shareholders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the Federal Forum Provision. This provision may limit a shareholder’s ability to bring a claim in a judicial forum of their choosing for disputes with us or our directors, officers or other employees, which may discourage lawsuits against us and our directors, officers and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Israel on December 20, 2018. We are registered with the Israeli Registrar of Companies in Jerusalem.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Continental Stock Transfer &amp; Trust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“NNOX.’’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ind w:left="10320"/>
        <w:spacing w:after="0"/>
        <w:rPr>
          <w:sz w:val="20"/>
          <w:szCs w:val="20"/>
          <w:color w:val="auto"/>
        </w:rPr>
      </w:pPr>
      <w:r>
        <w:rPr>
          <w:rFonts w:ascii="Times New Roman" w:cs="Times New Roman" w:eastAsia="Times New Roman" w:hAnsi="Times New Roman"/>
          <w:sz w:val="17"/>
          <w:szCs w:val="17"/>
          <w:b w:val="1"/>
          <w:bCs w:val="1"/>
          <w:color w:val="auto"/>
        </w:rPr>
        <w:t>Exhibit 4.19</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contained in this document, marked by brackets, was omitted because it is both (i) not material and (ii) is the type that the Company treats as private or confidential. “[REDACTED]” indicates where the information has been omitted from this exhibit.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Development and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is executed and effective from the date of sign off by all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SKAN-X Radiology Devices SRL, </w:t>
      </w:r>
      <w:r>
        <w:rPr>
          <w:rFonts w:ascii="Times New Roman" w:cs="Times New Roman" w:eastAsia="Times New Roman" w:hAnsi="Times New Roman"/>
          <w:sz w:val="18"/>
          <w:szCs w:val="18"/>
          <w:color w:val="auto"/>
        </w:rPr>
        <w:t>a limited liability company, incorporated under the laws of Italy, whose corporate seat is in San Lazzaro di Savena,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Bologna, Italy and whose office address is at Via della Tecnica 3, 40068 San Lazzaro di Savena, Bologna Italy herein after referred to as “CEI” (subsidiary of Skanray Technologies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Nano-X Imaging Ltd., </w:t>
      </w:r>
      <w:r>
        <w:rPr>
          <w:rFonts w:ascii="Times New Roman" w:cs="Times New Roman" w:eastAsia="Times New Roman" w:hAnsi="Times New Roman"/>
          <w:sz w:val="18"/>
          <w:szCs w:val="18"/>
          <w:color w:val="auto"/>
        </w:rPr>
        <w:t>a company incorporated and existing under the laws of Israel, having its principal place of business at Ofer Tech Park94 Shlomo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Shmeltzer Road Petach Tikva Israel 4970602 </w:t>
      </w:r>
      <w:r>
        <w:rPr>
          <w:rFonts w:ascii="Times New Roman" w:cs="Times New Roman" w:eastAsia="Times New Roman" w:hAnsi="Times New Roman"/>
          <w:sz w:val="18"/>
          <w:szCs w:val="18"/>
          <w:b w:val="1"/>
          <w:bCs w:val="1"/>
          <w:color w:val="auto"/>
        </w:rPr>
        <w:t>(“NANO-X”).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Nano-X, and CEI are hereinafter jointly referred to as the “Parties”, or individually 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WHEREAS:</w:t>
      </w:r>
    </w:p>
    <w:p>
      <w:pPr>
        <w:spacing w:after="0" w:line="229"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is into developing and manufacturing X-ray tubes and tube components for the medical X- ray industry and (the “CEI Products”).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is focused on applying proprietary medical imaging technology and solutions to make diagnostic medicine more accessible and affordable across the globe and wishes to buy X-ray tube from CEI.</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shall provide CEI the required semiconductor chips ("chips”) for the Modules’ assembly.</w:t>
      </w:r>
    </w:p>
    <w:p>
      <w:pPr>
        <w:spacing w:after="0" w:line="225" w:lineRule="exact"/>
        <w:rPr>
          <w:rFonts w:ascii="Times New Roman" w:cs="Times New Roman" w:eastAsia="Times New Roman" w:hAnsi="Times New Roman"/>
          <w:sz w:val="18"/>
          <w:szCs w:val="18"/>
          <w:color w:val="auto"/>
        </w:rPr>
      </w:pPr>
    </w:p>
    <w:p>
      <w:pPr>
        <w:ind w:left="340" w:right="8300" w:hanging="332"/>
        <w:spacing w:after="0" w:line="500"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IP rights and ownership is as below: </w:t>
      </w:r>
      <w:r>
        <w:rPr>
          <w:rFonts w:ascii="Times New Roman" w:cs="Times New Roman" w:eastAsia="Times New Roman" w:hAnsi="Times New Roman"/>
          <w:sz w:val="18"/>
          <w:szCs w:val="18"/>
          <w:i w:val="1"/>
          <w:iCs w:val="1"/>
          <w:color w:val="auto"/>
        </w:rPr>
        <w:t>[REDACTED]</w:t>
      </w:r>
    </w:p>
    <w:p>
      <w:pPr>
        <w:spacing w:after="0" w:line="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Modules means the X-ray tubes manufactured by CEI using the Semi-Conductor Chips provided by Nanox and supplied exclusively to Nanox (“Modules” and/or “Tubes”).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wishes to procure these Modules from CEI based on the Know How, specifications, parts, process, equipment and instructions provided by Nano-X along with CEI’s own proprietary equipment process and Know How.</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will incorporate the Modules manufactured by CEI in their own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out the terms and conditions that are applicable to any orders, which may be placed by Nano-X for the delivery of Module(s).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wish to set forth in writing the terms and conditions of their use of and related obligations to this Agreement.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conflict between provisions of this Agreement and any Purchase Order or other document or appendix, the provisions of the Agreement shall prevail.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NOW, THEREFORE PARTIES HAVE AGREED AS FOLLOWS:</w:t>
      </w:r>
    </w:p>
    <w:p>
      <w:pPr>
        <w:spacing w:after="0" w:line="225" w:lineRule="exact"/>
        <w:rPr>
          <w:sz w:val="20"/>
          <w:szCs w:val="20"/>
          <w:color w:val="auto"/>
        </w:rPr>
      </w:pPr>
    </w:p>
    <w:p>
      <w:pPr>
        <w:ind w:left="340" w:right="8320" w:hanging="332"/>
        <w:spacing w:after="0" w:line="532" w:lineRule="auto"/>
        <w:tabs>
          <w:tab w:leader="none" w:pos="34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SCOPE OF THIS AGREEMENT </w:t>
      </w:r>
      <w:r>
        <w:rPr>
          <w:rFonts w:ascii="Times New Roman" w:cs="Times New Roman" w:eastAsia="Times New Roman" w:hAnsi="Times New Roman"/>
          <w:sz w:val="17"/>
          <w:szCs w:val="17"/>
          <w:color w:val="auto"/>
        </w:rPr>
        <w:t>The scope of this agreement is:</w:t>
      </w:r>
    </w:p>
    <w:p>
      <w:pPr>
        <w:spacing w:after="0" w:line="1" w:lineRule="exact"/>
        <w:rPr>
          <w:rFonts w:ascii="Times New Roman" w:cs="Times New Roman" w:eastAsia="Times New Roman" w:hAnsi="Times New Roman"/>
          <w:sz w:val="17"/>
          <w:szCs w:val="17"/>
          <w:b w:val="1"/>
          <w:bCs w:val="1"/>
          <w:color w:val="auto"/>
        </w:rPr>
      </w:pPr>
    </w:p>
    <w:p>
      <w:pPr>
        <w:ind w:left="660" w:hanging="328"/>
        <w:spacing w:after="0"/>
        <w:tabs>
          <w:tab w:leader="none" w:pos="6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development &amp; capacity plan for commercialization of the Modules.</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 of Modules by CEI to Nano-X as per the terms hereof and prices set out in </w:t>
      </w:r>
      <w:r>
        <w:rPr>
          <w:rFonts w:ascii="Times New Roman" w:cs="Times New Roman" w:eastAsia="Times New Roman" w:hAnsi="Times New Roman"/>
          <w:sz w:val="18"/>
          <w:szCs w:val="18"/>
          <w:b w:val="1"/>
          <w:bCs w:val="1"/>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7" w:name="page218"/>
    <w:bookmarkEnd w:id="217"/>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AGREEMENT</w:t>
      </w:r>
    </w:p>
    <w:p>
      <w:pPr>
        <w:spacing w:after="0" w:line="229" w:lineRule="exact"/>
        <w:rPr>
          <w:sz w:val="20"/>
          <w:szCs w:val="20"/>
          <w:color w:val="auto"/>
        </w:rPr>
      </w:pPr>
    </w:p>
    <w:p>
      <w:pPr>
        <w:jc w:val="both"/>
        <w:ind w:left="360" w:firstLine="18"/>
        <w:spacing w:after="0" w:line="289" w:lineRule="auto"/>
        <w:rPr>
          <w:sz w:val="20"/>
          <w:szCs w:val="20"/>
          <w:color w:val="auto"/>
        </w:rPr>
      </w:pPr>
      <w:r>
        <w:rPr>
          <w:rFonts w:ascii="Times New Roman" w:cs="Times New Roman" w:eastAsia="Times New Roman" w:hAnsi="Times New Roman"/>
          <w:sz w:val="17"/>
          <w:szCs w:val="17"/>
          <w:color w:val="auto"/>
        </w:rPr>
        <w:t>This agreement is effective on the signing date and shall remain in force for [REDACTED] from the date of signing (“Expiring Date”). Thereafter, this agreement may be renewed with mutual agreement in writing for any agreed period. If the parties intend not to renew the agreement after the Expiring Date for a further period, either party shall provide [REDACTED] notice prior to the Expiring Date, to help the other party to make alternate plans.</w:t>
      </w:r>
    </w:p>
    <w:p>
      <w:pPr>
        <w:spacing w:after="0" w:line="158" w:lineRule="exact"/>
        <w:rPr>
          <w:sz w:val="20"/>
          <w:szCs w:val="20"/>
          <w:color w:val="auto"/>
        </w:rPr>
      </w:pPr>
    </w:p>
    <w:p>
      <w:pPr>
        <w:jc w:val="both"/>
        <w:ind w:left="360" w:firstLine="18"/>
        <w:spacing w:after="0" w:line="282" w:lineRule="auto"/>
        <w:rPr>
          <w:sz w:val="20"/>
          <w:szCs w:val="20"/>
          <w:color w:val="auto"/>
        </w:rPr>
      </w:pPr>
      <w:r>
        <w:rPr>
          <w:rFonts w:ascii="Times New Roman" w:cs="Times New Roman" w:eastAsia="Times New Roman" w:hAnsi="Times New Roman"/>
          <w:sz w:val="18"/>
          <w:szCs w:val="18"/>
          <w:color w:val="auto"/>
        </w:rPr>
        <w:t>Confirmed Purchase Orders placed with payments prior to the Expiring Date shall be carried out by the Parties, notwithstanding the expiration of this agreement.</w:t>
      </w:r>
    </w:p>
    <w:p>
      <w:pPr>
        <w:spacing w:after="0" w:line="158"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ORDERS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Nano-X shall provide CEI with an irrevocable purchase order either written or in electronic form for </w:t>
      </w:r>
      <w:r>
        <w:rPr>
          <w:rFonts w:ascii="Times New Roman" w:cs="Times New Roman" w:eastAsia="Times New Roman" w:hAnsi="Times New Roman"/>
          <w:sz w:val="18"/>
          <w:szCs w:val="18"/>
          <w:b w:val="1"/>
          <w:bCs w:val="1"/>
          <w:color w:val="auto"/>
        </w:rPr>
        <w:t>6 months “Purchase Order(s)”.</w:t>
      </w:r>
    </w:p>
    <w:p>
      <w:pPr>
        <w:spacing w:after="0" w:line="229" w:lineRule="exact"/>
        <w:rPr>
          <w:sz w:val="20"/>
          <w:szCs w:val="20"/>
          <w:color w:val="auto"/>
        </w:rPr>
      </w:pPr>
    </w:p>
    <w:p>
      <w:pPr>
        <w:ind w:left="660" w:hanging="328"/>
        <w:spacing w:after="0"/>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shall provide 6 months rolling forecast in addition to the 6 months Purchase Order as per clause 3(a).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variation of [REDACTED] from the [REDACTED] PO shall be accepted by CEI. Unless mutually agreed, there shall not be a variation in the 3-month rolling purchase order.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Price and Payment terms, refer </w:t>
      </w:r>
      <w:r>
        <w:rPr>
          <w:rFonts w:ascii="Times New Roman" w:cs="Times New Roman" w:eastAsia="Times New Roman" w:hAnsi="Times New Roman"/>
          <w:sz w:val="18"/>
          <w:szCs w:val="18"/>
          <w:b w:val="1"/>
          <w:bCs w:val="1"/>
          <w:color w:val="auto"/>
        </w:rPr>
        <w:t>Appendix 1.</w:t>
      </w:r>
    </w:p>
    <w:p>
      <w:pPr>
        <w:spacing w:after="0" w:line="229"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 Orders shall be considered binding and accepted by CEI only upon CEI’s issuance of a written acknowledgment confirming its acceptance of the Purchase Order. CEI’s acknowledgment shall be either written or in electronic form. If CEI does not communicate to Nano-X a rejection of the Purchase Order within [REDACTED] after the date of confirmed receipt of such Purchase Order by the authorized signatories from CEI, then such Purchase Order shall be deemed to be accepted by CEI</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will accept any Purchase Order that meets the Nano-X forecast, provided that if the requested quantity of Modules exceeds [REDACTED] of the gross forecasted capacity per quarter, the supply exceeding such number shall be made on a "mutually agreed and best efforts" basis.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further clarified that upon execution of this Agreement and at CEI’s request, Parties will cancel the outstanding Purchase Orders and reissue new purchase order in accordance with the terms of the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shall be on a standard lead time of [REDACTED] from the date of accepted Purchase Orders ("Lead Time") and receipt of required quantity of chips from Nano-x. For any week (or part thereof) of late delivery after the initial [REDACTED], Nano-X shall be entitled to a discount of [REDACTED] per week. Nano-X may cancel Purchase Orders (and be entitled to a refund of amounts previously paid) if the late delivery exceeds [REDACTED] after the Lead Time. In case of delay in supply of chips by Nano-x or deterioration in the yield solely, entirely due to chips failure, such number of days shall not be considered as late delivery.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shall deliver the Module in CEI's standard packaging and in the ordered and agreed quantities Ex Works. Nano-X is responsible for the timely transportation (including insurance) with COC from CEI's warehouse to the destination. The Module shall be delivered in identifiable serial numbers each traceable to the relevant Device History Record (DHR) information according to the specifications of the Module as provided by Nano-X to CEI. In case Nano-X wishes for a certain type of packaging other than the standard packaging, Nano-X shall inform CEI timely about the packaging requirements and Nano-X will bear the costs of this packaging.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CEI has produced the Module [REDACTED] before the agreed delivery date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xml:space="preserve"> CEI is authorized to send the Module to Nano-X. In the event that CEI has produced the Module more than a week before the Delivery Date, CEI will inform Nano-X about the intention of early shipment. In this case Nano-X has the right to express their objections to early shipment within [REDACTED] business days after given notice. If early shipment has been disapproved, CEI shall keep such Module in storage on behalf of Nano-X until the Delivery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REJECTION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Modules shall be subject to acceptance testing by Nano-X within a period of [REDACTED]after delivery of the Modules. The acceptance criteria shall be as set forth in </w:t>
      </w:r>
      <w:r>
        <w:rPr>
          <w:rFonts w:ascii="Times New Roman" w:cs="Times New Roman" w:eastAsia="Times New Roman" w:hAnsi="Times New Roman"/>
          <w:sz w:val="18"/>
          <w:szCs w:val="18"/>
          <w:b w:val="1"/>
          <w:bCs w:val="1"/>
          <w:color w:val="auto"/>
        </w:rPr>
        <w:t>Appendix 2,</w:t>
      </w:r>
      <w:r>
        <w:rPr>
          <w:rFonts w:ascii="Times New Roman" w:cs="Times New Roman" w:eastAsia="Times New Roman" w:hAnsi="Times New Roman"/>
          <w:sz w:val="18"/>
          <w:szCs w:val="18"/>
          <w:color w:val="auto"/>
        </w:rPr>
        <w:t xml:space="preserve"> as may be amended from time to time by mutual written consent.</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CEI shall take responsibility for the Modules, including parts, manufacturing and workmanship excluding the semiconductor chip provided by Nanox.</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CEI grants Nano-X a manufacturing, material and workmanship warranty for the Modules for a period of [REDACTED] from the date of acceptance The said warranty is applicable upon execution of this Agreement and applies to the defects stipulated in the attached </w:t>
      </w:r>
      <w:r>
        <w:rPr>
          <w:rFonts w:ascii="Times New Roman" w:cs="Times New Roman" w:eastAsia="Times New Roman" w:hAnsi="Times New Roman"/>
          <w:sz w:val="18"/>
          <w:szCs w:val="18"/>
          <w:b w:val="1"/>
          <w:bCs w:val="1"/>
          <w:color w:val="auto"/>
        </w:rPr>
        <w:t>Appendix 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warrants that the Modules supplied shall be free from defects in material and workmanship under the scope of CEI.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of the tubes, Nano-x shall inspect the delivered modules within [REDACTED] from the date of delivery.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any defect in the Modules supplied by CEI, it shall be covered under the warranty as mentioned in the above clause 6 (a)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CEI's liability will not cover any damage caused as a result of negligence on the part of Nano- X, unapproved change in test protocols, field applications or on the part of the end user of the Modules, or by ill-planning and/or fail design on the part of Nano-X.</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CEI's warranty will not cover any damage caused directly due to the semiconductor chip provided by Nano-x.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CEI’s scope is limited to supply of replacement Modules at free of cost matching the quantities.</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replacement Modules shall be subject to the acceptance criteria as specified in </w:t>
      </w:r>
      <w:r>
        <w:rPr>
          <w:rFonts w:ascii="Times New Roman" w:cs="Times New Roman" w:eastAsia="Times New Roman" w:hAnsi="Times New Roman"/>
          <w:sz w:val="18"/>
          <w:szCs w:val="18"/>
          <w:b w:val="1"/>
          <w:bCs w:val="1"/>
          <w:color w:val="auto"/>
        </w:rPr>
        <w:t>Appendix 2.</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it is hereby mutually agreed that upon [REDACTED], the parties will agree and amend the Agreement to include the extended general warranty for the Module in its entirety, including service commitments, Module pulse life, etc.</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PRICES AND PAYMENT</w:t>
      </w:r>
    </w:p>
    <w:p>
      <w:pPr>
        <w:spacing w:after="0" w:line="229"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Prices are listed in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After achieving the minimum quantity, the parties will meet annually to discuss changes to the BOM cost of the Modules and may by mutual consent, adjust the prices up or down in line with the volumes.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price for the tubes rejected for Chip failures is listed in </w:t>
      </w:r>
      <w:r>
        <w:rPr>
          <w:rFonts w:ascii="Times New Roman" w:cs="Times New Roman" w:eastAsia="Times New Roman" w:hAnsi="Times New Roman"/>
          <w:sz w:val="18"/>
          <w:szCs w:val="18"/>
          <w:b w:val="1"/>
          <w:bCs w:val="1"/>
          <w:color w:val="auto"/>
        </w:rPr>
        <w:t>Appendix 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&amp; CAPACITY</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Nano-X shall pay a monthly development fee of [REDACTED] from the date of signing the agreement subject to CEI meeting the monthly capacities as per </w:t>
      </w:r>
      <w:r>
        <w:rPr>
          <w:rFonts w:ascii="Times New Roman" w:cs="Times New Roman" w:eastAsia="Times New Roman" w:hAnsi="Times New Roman"/>
          <w:sz w:val="18"/>
          <w:szCs w:val="18"/>
          <w:b w:val="1"/>
          <w:bCs w:val="1"/>
          <w:color w:val="auto"/>
        </w:rPr>
        <w:t>Appendix 4.</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Nano-X &amp; CEI have mutually agreed on the gross capacity build plan as per </w:t>
      </w:r>
      <w:r>
        <w:rPr>
          <w:rFonts w:ascii="Times New Roman" w:cs="Times New Roman" w:eastAsia="Times New Roman" w:hAnsi="Times New Roman"/>
          <w:sz w:val="18"/>
          <w:szCs w:val="18"/>
          <w:b w:val="1"/>
          <w:bCs w:val="1"/>
          <w:color w:val="auto"/>
        </w:rPr>
        <w:t>Appendix 4.</w:t>
      </w:r>
      <w:r>
        <w:rPr>
          <w:rFonts w:ascii="Times New Roman" w:cs="Times New Roman" w:eastAsia="Times New Roman" w:hAnsi="Times New Roman"/>
          <w:sz w:val="18"/>
          <w:szCs w:val="18"/>
          <w:color w:val="auto"/>
        </w:rPr>
        <w:t xml:space="preserve"> Nano-X and CEI shall review the progress of the plan on a monthly basis and may mutually agree changes to be incorporated in </w:t>
      </w:r>
      <w:r>
        <w:rPr>
          <w:rFonts w:ascii="Times New Roman" w:cs="Times New Roman" w:eastAsia="Times New Roman" w:hAnsi="Times New Roman"/>
          <w:sz w:val="18"/>
          <w:szCs w:val="18"/>
          <w:b w:val="1"/>
          <w:bCs w:val="1"/>
          <w:color w:val="auto"/>
        </w:rPr>
        <w:t>Appendix 4.</w:t>
      </w:r>
      <w:r>
        <w:rPr>
          <w:rFonts w:ascii="Times New Roman" w:cs="Times New Roman" w:eastAsia="Times New Roman" w:hAnsi="Times New Roman"/>
          <w:sz w:val="18"/>
          <w:szCs w:val="18"/>
          <w:color w:val="auto"/>
        </w:rPr>
        <w:t xml:space="preserve"> If the build plan is not met by CEI in spite of Nano-x meeting all the build-plan-related requirements under this agreement, CEI shall lose its privileges of Preferred Supplier status, right of first refusal and rights to exit fees in the event of 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ind w:left="660" w:hanging="274"/>
        <w:spacing w:after="0"/>
        <w:tabs>
          <w:tab w:leader="none" w:pos="66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Nanox shall pay NRE Charges as per </w:t>
      </w:r>
      <w:r>
        <w:rPr>
          <w:rFonts w:ascii="Times New Roman" w:cs="Times New Roman" w:eastAsia="Times New Roman" w:hAnsi="Times New Roman"/>
          <w:sz w:val="18"/>
          <w:szCs w:val="18"/>
          <w:b w:val="1"/>
          <w:bCs w:val="1"/>
          <w:color w:val="auto"/>
        </w:rPr>
        <w:t>Appendix 4.</w:t>
      </w:r>
      <w:r>
        <w:rPr>
          <w:rFonts w:ascii="Times New Roman" w:cs="Times New Roman" w:eastAsia="Times New Roman" w:hAnsi="Times New Roman"/>
          <w:sz w:val="18"/>
          <w:szCs w:val="18"/>
          <w:color w:val="auto"/>
        </w:rPr>
        <w:t xml:space="preserve"> The capacity building plan shall begin on receipt of NRE charges and sign off this agreement.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process of gross capacity building, if any change, preapproved by Nanox, is required in testing or any other process, which needs material investment, Nanox agrees to pay the additional NRE charges for the same. If the cost of the change is within [REDACTED] of the already paid NRE, CEI will bear the same.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will submit the proof of building gross capacity and Nanox shall pay NRE linked to the milestone even if the Modules order is not equal to the gross capacity.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and Nanox agrees to review the capacity increase plan beyond [REDACTED] modules per month at the appropriate time to meet Nanox requirements in line with increase in demand.</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COVENANTS.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will maintain such number of qualified personnel and parts as are necessary to manufacture the Modules under the terms and conditions of this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and Nano-x represents and warrants that as of the Effective Date no third party has sued, or otherwise brought a claim against it or any of its affiliates alleging that the Modules infringe third-party Intellectual Property rights.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and Anti-bribery. In conformity with the UN Convention Against Corruption, the OECD Convention on Combating Bribery of Foreign Public Officials in International Business Transactions, the United States Foreign Corrupt Practices Act, the UK Anti Bribery Act, any other applicable laws and -established corporate policies regarding foreign business practices by both the parties, CEI and Nano-X undertakes to take all reasonable measures to ensure that it and its employees and agents shall not, directly or indirectly, make, offer, authorize, or promise any payment, gift, or anything of value for the purpose of improperly influencing an act or decision of a commercial enterprise or improperly influencing an act or decision of an official of any government (including a decision not to act) or inducing such a person to use his influence to affect any such commercial enterprise or governmental act or decision in order to assist CEI or Nano-X in improperly obtaining, retaining, or directing any business.</w:t>
      </w:r>
    </w:p>
    <w:p>
      <w:pPr>
        <w:spacing w:after="0" w:line="19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Laws and Import laws. The Parties agree to comply with any applicable export and import control laws and regulations. Each Party further agrees that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3"/>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entity restricted or prohibited or engaged in activities restricted or prohibited by any export controls;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3"/>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Modules will not be exported, re-exported or otherwise transferred to any country subject to a trade embargo without the appropriate export license or authorization;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3"/>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Modules will not be exported, re-exported or transferred to any person or entity included on any of the lists of restricted or denied parties maintained by the government or be used in activities restricted or prohibited by the export controls, including, but not limited to chemical, biological, or nuclear weapons without the appropriate export license.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at its own expense comply with all applicable international, national, state, regional, and local laws, rules, and regulations of competent public authorities relating to its duties, obligations, and performance under this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that it has all authority necessary to enter into this Agreement, that the person(s) signing this Agreement has the authority to bind it, and that there is no legal, regulatory, business, or contractual conflict that would prevent it from executing this Agreement or performing its obligations hereunder.</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SUPPLIER; RIGHT OF FIRST REFUSAL</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Recognition of Preferred Status: </w:t>
      </w:r>
      <w:r>
        <w:rPr>
          <w:rFonts w:ascii="Times New Roman" w:cs="Times New Roman" w:eastAsia="Times New Roman" w:hAnsi="Times New Roman"/>
          <w:sz w:val="18"/>
          <w:szCs w:val="18"/>
          <w:color w:val="auto"/>
        </w:rPr>
        <w:t>The Parties acknowledge that CEI will hold the status of a preferred supplier under this Agreement as soon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has the Gross capacity to produce [REDACTED]per month. If CEI fails to reach the above-mentioned capacity within [REDACTED] from execution of the Agreement, as per </w:t>
      </w:r>
      <w:r>
        <w:rPr>
          <w:rFonts w:ascii="Times New Roman" w:cs="Times New Roman" w:eastAsia="Times New Roman" w:hAnsi="Times New Roman"/>
          <w:sz w:val="18"/>
          <w:szCs w:val="18"/>
          <w:b w:val="1"/>
          <w:bCs w:val="1"/>
          <w:color w:val="auto"/>
        </w:rPr>
        <w:t>Appendix 4,</w:t>
      </w:r>
      <w:r>
        <w:rPr>
          <w:rFonts w:ascii="Times New Roman" w:cs="Times New Roman" w:eastAsia="Times New Roman" w:hAnsi="Times New Roman"/>
          <w:sz w:val="18"/>
          <w:szCs w:val="18"/>
          <w:color w:val="auto"/>
        </w:rPr>
        <w:t xml:space="preserve"> CEI will not be eligible for the preferred supplier status.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0" w:name="page221"/>
    <w:bookmarkEnd w:id="220"/>
    <w:p>
      <w:pPr>
        <w:jc w:val="both"/>
        <w:ind w:left="652" w:hanging="328"/>
        <w:spacing w:after="0" w:line="255" w:lineRule="auto"/>
        <w:tabs>
          <w:tab w:leader="none" w:pos="65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Priority in Supply and Right of First Refusal: </w:t>
      </w:r>
      <w:r>
        <w:rPr>
          <w:rFonts w:ascii="Times New Roman" w:cs="Times New Roman" w:eastAsia="Times New Roman" w:hAnsi="Times New Roman"/>
          <w:sz w:val="18"/>
          <w:szCs w:val="18"/>
          <w:color w:val="auto"/>
        </w:rPr>
        <w:t>Nano-X agrees to treat CEI as the preferred supplier for purchase of the X ray tubes,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CEI’s ability to meet the quality, quantity (within in the gross installed capacity at CEI as per Appendixes 2 and 4), current prices, warranty and delivery requirements specified herein, purchase at least [REDACTED] of the tubes purchased by Nano-X from CEI, per regions where the Modules are regulatory approved (FDA, CE) (the "Preferred Capacity"). Nanox shall quarterly provide the document in support of the total Modules purchased by Nano-x. In addition, CEI shall have [REDACTED] from written notification by Nano-X to elect whether it wishes to match or exceed the terms offered by any third party. Failure by CEI to respond to any such notice by Nano-X within [REDACTED] shall be deemed a waiver of CEI of its rights hereunder. A suitable mechanism shall be put in place jointly by CEI and Nano-X directly or through a third party to ascertain the price, volumes, delivery, terms and warranty of the tubes to enable CEI to provide the offer.</w:t>
      </w:r>
    </w:p>
    <w:p>
      <w:pPr>
        <w:spacing w:after="0" w:line="184" w:lineRule="exact"/>
        <w:rPr>
          <w:rFonts w:ascii="Times New Roman" w:cs="Times New Roman" w:eastAsia="Times New Roman" w:hAnsi="Times New Roman"/>
          <w:sz w:val="18"/>
          <w:szCs w:val="18"/>
          <w:color w:val="auto"/>
        </w:rPr>
      </w:pPr>
    </w:p>
    <w:p>
      <w:pPr>
        <w:ind w:left="652" w:right="20" w:hanging="328"/>
        <w:spacing w:after="0" w:line="286" w:lineRule="auto"/>
        <w:tabs>
          <w:tab w:leader="none" w:pos="65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Price and Terms: </w:t>
      </w:r>
      <w:r>
        <w:rPr>
          <w:rFonts w:ascii="Times New Roman" w:cs="Times New Roman" w:eastAsia="Times New Roman" w:hAnsi="Times New Roman"/>
          <w:sz w:val="18"/>
          <w:szCs w:val="18"/>
          <w:color w:val="auto"/>
        </w:rPr>
        <w:t>CEI agrees to offer competitive pricing and favorable terms to Nano-X as part of the preferred supplier arrangement,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Nano-X meets its commitment to volume and other obligations under this Agreement.</w:t>
      </w:r>
    </w:p>
    <w:p>
      <w:pPr>
        <w:spacing w:after="0" w:line="154" w:lineRule="exact"/>
        <w:rPr>
          <w:rFonts w:ascii="Times New Roman" w:cs="Times New Roman" w:eastAsia="Times New Roman" w:hAnsi="Times New Roman"/>
          <w:sz w:val="18"/>
          <w:szCs w:val="18"/>
          <w:color w:val="auto"/>
        </w:rPr>
      </w:pPr>
    </w:p>
    <w:p>
      <w:pPr>
        <w:ind w:left="652" w:hanging="328"/>
        <w:spacing w:after="0" w:line="286" w:lineRule="auto"/>
        <w:tabs>
          <w:tab w:leader="none" w:pos="65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Review and Evaluation: </w:t>
      </w:r>
      <w:r>
        <w:rPr>
          <w:rFonts w:ascii="Times New Roman" w:cs="Times New Roman" w:eastAsia="Times New Roman" w:hAnsi="Times New Roman"/>
          <w:sz w:val="18"/>
          <w:szCs w:val="18"/>
          <w:color w:val="auto"/>
        </w:rPr>
        <w:t>The Parties shall conduct periodic reviews to assess Nano-x’s adherence to volume commitments. Any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to the preferred supplier’s status, pricing, or terms shall be discussed and mutually agreed upon in good faith.</w:t>
      </w:r>
    </w:p>
    <w:p>
      <w:pPr>
        <w:spacing w:after="0" w:line="15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jc w:val="both"/>
        <w:ind w:left="652" w:hanging="328"/>
        <w:spacing w:after="0" w:line="261" w:lineRule="auto"/>
        <w:tabs>
          <w:tab w:leader="none" w:pos="65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is in breach of one or more of its obligations under this Agreement, which default is not remedied within [REDACTED]after written notice is given to the breaching Party or, if a Party is in breach of one or more of its obligations and the breach cannot be remedied, the nonbreaching Party may, by giving [REDACTED] to the breaching Party, fully or partially terminate this Agreement, as of a date specified in the notice of termination.</w:t>
      </w:r>
    </w:p>
    <w:p>
      <w:pPr>
        <w:spacing w:after="0" w:line="179" w:lineRule="exact"/>
        <w:rPr>
          <w:rFonts w:ascii="Times New Roman" w:cs="Times New Roman" w:eastAsia="Times New Roman" w:hAnsi="Times New Roman"/>
          <w:sz w:val="18"/>
          <w:szCs w:val="18"/>
          <w:color w:val="auto"/>
        </w:rPr>
      </w:pPr>
    </w:p>
    <w:p>
      <w:pPr>
        <w:jc w:val="both"/>
        <w:ind w:left="652" w:right="20" w:hanging="328"/>
        <w:spacing w:after="0" w:line="266" w:lineRule="auto"/>
        <w:tabs>
          <w:tab w:leader="none" w:pos="65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terminate or suspend this Agreement, or any Purchase Order in whole or in part, with immediate effect if the other Party has overgone a material change in control, material change in the nature of business, restructuring, possibilities of liquidation or bankruptcy or any event that has a potential of impacting this agreement. No exit fees (as detailed in section 11c below) shall apply in the event of such termination.</w:t>
      </w:r>
    </w:p>
    <w:p>
      <w:pPr>
        <w:spacing w:after="0" w:line="171" w:lineRule="exact"/>
        <w:rPr>
          <w:rFonts w:ascii="Times New Roman" w:cs="Times New Roman" w:eastAsia="Times New Roman" w:hAnsi="Times New Roman"/>
          <w:sz w:val="18"/>
          <w:szCs w:val="18"/>
          <w:color w:val="auto"/>
        </w:rPr>
      </w:pPr>
    </w:p>
    <w:p>
      <w:pPr>
        <w:jc w:val="both"/>
        <w:ind w:left="652" w:hanging="328"/>
        <w:spacing w:after="0" w:line="268" w:lineRule="auto"/>
        <w:tabs>
          <w:tab w:leader="none" w:pos="65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Exit fees: </w:t>
      </w:r>
      <w:r>
        <w:rPr>
          <w:rFonts w:ascii="Times New Roman" w:cs="Times New Roman" w:eastAsia="Times New Roman" w:hAnsi="Times New Roman"/>
          <w:sz w:val="18"/>
          <w:szCs w:val="18"/>
          <w:color w:val="auto"/>
        </w:rPr>
        <w:t>If Nano-X unilaterally breaks this agreement before the expiring date mentioned in clause 2 of the agreement, for no fault, non-performance or breach of CEI’s obligations under the terms of this Agreement or a Purchase Order, Nano-X shall compensate CEI through an exit fee as below immediately, including any other liability under this agreement.</w:t>
      </w:r>
    </w:p>
    <w:p>
      <w:pPr>
        <w:spacing w:after="0" w:line="17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5" w:lineRule="exact"/>
        <w:rPr>
          <w:sz w:val="20"/>
          <w:szCs w:val="20"/>
          <w:color w:val="auto"/>
        </w:rPr>
      </w:pPr>
    </w:p>
    <w:p>
      <w:pPr>
        <w:ind w:left="652" w:hanging="328"/>
        <w:spacing w:after="0"/>
        <w:tabs>
          <w:tab w:leader="none" w:pos="6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upon Termination</w:t>
      </w:r>
    </w:p>
    <w:p>
      <w:pPr>
        <w:spacing w:after="0" w:line="229"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this Agreement, which by their nature should survive the termination of this Agreement shall remain in effect after termination of this Agreement.</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agreement is terminated due to a breach of CEI, Nano-X shall pay all the pending dues to CEI upon termination for supply of X-ray tubes.</w:t>
      </w:r>
    </w:p>
    <w:p>
      <w:pPr>
        <w:spacing w:after="0" w:line="16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shall return to Nano-X all remaining chips.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 shall return to Nano-X equipment funded by Nano-X via NRE or other charges, at its possession at mutually agreed terms.</w:t>
      </w:r>
    </w:p>
    <w:p>
      <w:pPr>
        <w:spacing w:after="0" w:line="225"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 shall buy raw material, WIP &amp; FG inventory including in transit &amp; non- cancellable PO placed by CEI for exclusive parts to the extent of confirmed forecast &amp; Purchase Orders.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21" w:name="page222"/>
    <w:bookmarkEnd w:id="221"/>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left="340" w:firstLine="1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defend, indemnify, and hold harmless Other party from any losses, damages, liabilities, judgments, expenses, and costs (including reasonable attorneys' fees), arising out of any negligent act, error or omission or claims that the manufacturing or commercialization of the Modules (As applicable) breaches any third party intellectual property rights or breach of this Agreement or any of its agents, employees, or subcontractors in connection with the performance of this Agreement.</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is a shortcoming that is beyond of the control of a Party and cannot be ascribed to its guilt and cannot be at its expense by virtue of law or generally accepted opinions and includes (a) acts of God; (b) flood, fire, earthquake or explosion; (c) war, invasion, hostilities (whether war is declared or not), terrorist threats or acts, riot or other civil unrest; (d) national or regional emergency; and (e) other similar events beyond the reasonable control of the impacted Party. In the event of a force majeure event, the Party affected by such force majeure event shall immediately notify the other Party and indicate the expected duration of such force majeure event.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use their best endeavors to mitigate the effects of a force majeure event.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force majeure event continues for more than [REDACTED], the other Party shall have the right to terminate the relevant Purchase Order and/or the Agreement with immediate effect by written notice, without any right to compensation of CEI or Nano-X, other than CEI refunding (within no later than [REDACTED] from the termination date) any payments made by Nano-X for Modules that were not delivered adjusting any outstanding dues, direct cash loss incurred by CEI for this transaction e.g. Purchase of raw material, raw material in stock, advance paid to supplier, shipment etc. and only in the event that the force majeure event had occurred on Nano-X’s side.</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AND PRESS RELEASE</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enter into a Mutual Non-Disclosure Agreement in the form attached as Appendix 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issue a press release describing rights, obligations, intent to perform, and relationship under this Agreement without the prior written approval of the other, which approval shall not be unreasonably withheld, provided however that the above shall not derogate from either parties right, as Nanox is a publicly traded company and CEI is public company to make any disclosure as may be required by law. or any stock exchange regulations or rules.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CEI agrees to obtain and maintain, at its own expense for the term of this agreement and for at least three [REDACTED] after the expiration or termination of this Agreement at least the following insurance policies:</w:t>
      </w:r>
    </w:p>
    <w:p>
      <w:pPr>
        <w:spacing w:after="0" w:line="162" w:lineRule="exact"/>
        <w:rPr>
          <w:sz w:val="20"/>
          <w:szCs w:val="20"/>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liability and products liability insurance coverage for the Modules with minimum limits of liability of [REDACTED] per occurrence and [REDACTED] in the annual aggregate. CEI shall include Nano-X is named as an additional insured in its insured customers list;</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property for all property and equipment of any kind and description owned by Nano-X brought/stored at CEI's facilities, according to the existing policy condition;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Worker's Compensation Insurance as required by applicable law, named INAIL (iv) Employers' liability insurance with the local common limit of liability but not less than [REDACTED] per occurrence and in aggregate.</w:t>
      </w:r>
    </w:p>
    <w:p>
      <w:pPr>
        <w:spacing w:after="0" w:line="158"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RIGHTS AND OBLIGATIONS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not transfer any of its rights and obligations under this Agreement to any third party without the prior written consent of the other Party. This Agreement shall continue to be binding on the Parties and their respective successors and permitted assigns.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understood or construed as an assignment by Nano-X to CEI or CEI to Nano-X of any intellectual property rights or know how.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2" w:name="page223"/>
    <w:bookmarkEnd w:id="222"/>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correspondence and communication in connection with this Agreement shall be in the English language.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required or desired to be given hereunder shall be in writing and shall be deemed delivered when sent by confirmed e-mail or by overnight express courier (such as FedEx) marked for the earliest possible delivery, in each case addressed to the other Party as set forth below, or to such other address as that Party may have specified by prior notice to the other given in the manner herein provided: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SKAN-X Radiology Devices SRL</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CEO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Via della Tecnica 3, 40068 San Lazzaro di Savena, Bologna Italy.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Email:____________________________</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Skanray Technologies Limited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Plot #15-17, Hebbal Industrial Area, Mysore - 570016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Nano-x:</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CEO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Ofer Tech Park,94 Shlomo Shmeltzer Road, Petach Tikva, Israel 4970602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erez.m@nanox.vision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9" w:lineRule="exact"/>
        <w:rPr>
          <w:sz w:val="20"/>
          <w:szCs w:val="20"/>
          <w:color w:val="auto"/>
        </w:rPr>
      </w:pPr>
    </w:p>
    <w:p>
      <w:pPr>
        <w:ind w:left="660" w:right="20" w:hanging="328"/>
        <w:spacing w:after="0" w:line="282" w:lineRule="auto"/>
        <w:tabs>
          <w:tab w:leader="none" w:pos="6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address must be reported by written notice and the new address shall be deemed the official address for purposes of this Agreement beginning three days after such notice has been 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understood and agreed that notwithstanding anything to the contrary, the general conditions of purchase, sale, services or maintenance of the Parties shall not be applicable to this Agreement or any Purchase Order hereunder.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benefits or rights accruing to either Party under this Agreement shall be waived unless the waiver is reduced to writing and signed by both Parties to this Agreement. The waiver, in one instance, of any act, condition or requirement stipulated in this Agreement shall not constitute a continuing waiver or a waiver of any other act, condition or requirement in other instances, unless specifically so stated. The delay or failure of either Party to exercise its rights under this Agreement shall in no case constitute or be deemed a waiver or forfeiture of such rights.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during the term of this Agreement and for [REDACTED] thereafter, each Party shall neither solicit for employment, consultancy, outsourced services, advisory roles etc., whether directly or indirectly any employee of the other Party to terminate his or her employment with the other Party, nor employ an employee of the other Party.</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create, evidence or imply any agency, partnership or joint venture between the Parties. No Party shall act or describe itself as the agent of the other Party nor shall a Party have, or represent that it has, any authority to make commitments on behalf of the other.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jc w:val="both"/>
        <w:ind w:left="660" w:hanging="328"/>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 is the complete agreement between the Parties with respect to the subject matter of this Agreement; and (ii) replaces and sets aside all previous arrangements, agreements and undertakings in respect thereof, except the conditions as agreed in the Non - Disclosure agreement between the Parties (as referred to in article 12). The conditions in this Non - Disclosure agreement are also applicable.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this Agreement shall be effective unless such amendment is in writing and duly signed by each of the Parties.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DISPUTES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attempt initially to solve all claims, disputes, or controversies arising under, out of, or in connection with this Agreement by conducting good faith negotiations.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provisions of this Agreement are declared to be invalid, illegal or unenforceable in any respect under any applicable law, the validity, legality or enforceability of the remaining provisions contained herein shall not in any way be affected. In such a case, each of the Parties shall use its best efforts to immediately and in good faith negotiate a legally valid provision in replacement, without affecting the spirit of this Agreement.</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arising out of this Agreement or relating thereto or in any manner connected with this Agreement, shall be instituted in Bologna, Italy.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terms under this Agreement shall remain same until amended in writing by both the parties to the Agreement Thus agreed upon and signed in duplicate intending each duplicate copy to serve as an original.</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tcPr>
          <w:p>
            <w:pPr>
              <w:spacing w:after="0"/>
              <w:rPr>
                <w:sz w:val="24"/>
                <w:szCs w:val="24"/>
                <w:color w:val="auto"/>
              </w:rPr>
            </w:pPr>
          </w:p>
        </w:tc>
        <w:tc>
          <w:tcPr>
            <w:tcW w:w="3320" w:type="dxa"/>
            <w:vAlign w:val="bottom"/>
            <w:tcBorders>
              <w:top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For Nano-X Imaging Ltd</w:t>
            </w:r>
          </w:p>
        </w:tc>
        <w:tc>
          <w:tcPr>
            <w:tcW w:w="1040" w:type="dxa"/>
            <w:vAlign w:val="bottom"/>
            <w:tcBorders>
              <w:top w:val="single" w:sz="8" w:color="auto"/>
              <w:right w:val="single" w:sz="8" w:color="auto"/>
            </w:tcBorders>
          </w:tcPr>
          <w:p>
            <w:pPr>
              <w:spacing w:after="0"/>
              <w:rPr>
                <w:sz w:val="24"/>
                <w:szCs w:val="24"/>
                <w:color w:val="auto"/>
              </w:rPr>
            </w:pPr>
          </w:p>
        </w:tc>
        <w:tc>
          <w:tcPr>
            <w:tcW w:w="4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Skan-X Radiology Devices SRL</w:t>
            </w:r>
          </w:p>
        </w:tc>
        <w:tc>
          <w:tcPr>
            <w:tcW w:w="0" w:type="dxa"/>
            <w:vAlign w:val="bottom"/>
          </w:tcPr>
          <w:p>
            <w:pPr>
              <w:spacing w:after="0"/>
              <w:rPr>
                <w:sz w:val="1"/>
                <w:szCs w:val="1"/>
                <w:color w:val="auto"/>
              </w:rPr>
            </w:pP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33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 Erez Meltzer</w:t>
            </w:r>
          </w:p>
        </w:tc>
        <w:tc>
          <w:tcPr>
            <w:tcW w:w="10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332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8"/>
              </w:rPr>
              <w:t>/s/ Ran Daniel</w:t>
            </w:r>
          </w:p>
        </w:tc>
        <w:tc>
          <w:tcPr>
            <w:tcW w:w="1040" w:type="dxa"/>
            <w:vAlign w:val="bottom"/>
            <w:tcBorders>
              <w:right w:val="single" w:sz="8" w:color="auto"/>
            </w:tcBorders>
          </w:tcPr>
          <w:p>
            <w:pPr>
              <w:spacing w:after="0"/>
              <w:rPr>
                <w:sz w:val="10"/>
                <w:szCs w:val="10"/>
                <w:color w:val="auto"/>
              </w:rPr>
            </w:pPr>
          </w:p>
        </w:tc>
        <w:tc>
          <w:tcPr>
            <w:tcW w:w="4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 Kavita Swame</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tcPr>
          <w:p>
            <w:pPr>
              <w:spacing w:after="0"/>
              <w:rPr>
                <w:sz w:val="9"/>
                <w:szCs w:val="9"/>
                <w:color w:val="auto"/>
              </w:rPr>
            </w:pPr>
          </w:p>
        </w:tc>
        <w:tc>
          <w:tcPr>
            <w:tcW w:w="3320" w:type="dxa"/>
            <w:vAlign w:val="bottom"/>
            <w:vMerge w:val="continue"/>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4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33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Erez Meltzer Ran Daniel</w:t>
            </w:r>
          </w:p>
        </w:tc>
        <w:tc>
          <w:tcPr>
            <w:tcW w:w="10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Kavita Swame</w:t>
            </w:r>
          </w:p>
        </w:tc>
        <w:tc>
          <w:tcPr>
            <w:tcW w:w="0" w:type="dxa"/>
            <w:vAlign w:val="bottom"/>
          </w:tcPr>
          <w:p>
            <w:pPr>
              <w:spacing w:after="0"/>
              <w:rPr>
                <w:sz w:val="1"/>
                <w:szCs w:val="1"/>
                <w:color w:val="auto"/>
              </w:rPr>
            </w:pP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Designation</w:t>
            </w:r>
          </w:p>
        </w:tc>
        <w:tc>
          <w:tcPr>
            <w:tcW w:w="332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CEO   CFO</w:t>
            </w:r>
          </w:p>
        </w:tc>
        <w:tc>
          <w:tcPr>
            <w:tcW w:w="10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CEO</w:t>
            </w:r>
          </w:p>
        </w:tc>
        <w:tc>
          <w:tcPr>
            <w:tcW w:w="0" w:type="dxa"/>
            <w:vAlign w:val="bottom"/>
          </w:tcPr>
          <w:p>
            <w:pPr>
              <w:spacing w:after="0"/>
              <w:rPr>
                <w:sz w:val="1"/>
                <w:szCs w:val="1"/>
                <w:color w:val="auto"/>
              </w:rPr>
            </w:pP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32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rPr>
              <w:t>December 22, 2024</w:t>
            </w:r>
          </w:p>
        </w:tc>
        <w:tc>
          <w:tcPr>
            <w:tcW w:w="10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17</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December 2024</w:t>
            </w:r>
          </w:p>
        </w:tc>
        <w:tc>
          <w:tcPr>
            <w:tcW w:w="0" w:type="dxa"/>
            <w:vAlign w:val="bottom"/>
          </w:tcPr>
          <w:p>
            <w:pPr>
              <w:spacing w:after="0"/>
              <w:rPr>
                <w:sz w:val="1"/>
                <w:szCs w:val="1"/>
                <w:color w:val="auto"/>
              </w:rPr>
            </w:pPr>
          </w:p>
        </w:tc>
      </w:tr>
      <w:tr>
        <w:trPr>
          <w:trHeight w:val="277"/>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Place</w:t>
            </w:r>
          </w:p>
        </w:tc>
        <w:tc>
          <w:tcPr>
            <w:tcW w:w="33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Israel</w:t>
            </w:r>
          </w:p>
        </w:tc>
        <w:tc>
          <w:tcPr>
            <w:tcW w:w="10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Bologna</w:t>
            </w:r>
          </w:p>
        </w:tc>
        <w:tc>
          <w:tcPr>
            <w:tcW w:w="0" w:type="dxa"/>
            <w:vAlign w:val="bottom"/>
          </w:tcPr>
          <w:p>
            <w:pPr>
              <w:spacing w:after="0"/>
              <w:rPr>
                <w:sz w:val="1"/>
                <w:szCs w:val="1"/>
                <w:color w:val="auto"/>
              </w:rPr>
            </w:pP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20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8</w:t>
            </w:r>
          </w:p>
        </w:tc>
        <w:tc>
          <w:tcPr>
            <w:tcW w:w="4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Prices and Quantity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5" w:name="page226"/>
    <w:bookmarkEnd w:id="22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Acceptance Criteria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Delivered Modules are to meet the attached SPEC and each delivered Module to be accompanied by the attached Quality template</w:t>
      </w:r>
    </w:p>
    <w:p>
      <w:pPr>
        <w:spacing w:after="0" w:line="2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6" w:name="page227"/>
    <w:bookmarkEnd w:id="22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Mutual Non-Disclosure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MUTUAL NON-DISCLOSURE AGREEMENT</w:t>
      </w: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Annexure for Warranty Clause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156845</wp:posOffset>
            </wp:positionV>
            <wp:extent cx="1148715" cy="2317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11487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160 Robinson Road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#21-09 SBF Center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Singapore 068914</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contained in this document, marked by brackets, was omitted because it is both (i) not material and (ii) is the type that the Company treats as private or confidential. “[REDACTED]” indicates where the information has been omitted from this exhibit.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VOLUME SUPPLY AGREEMENT</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Volume Supply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August 8,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and is between </w:t>
      </w:r>
      <w:r>
        <w:rPr>
          <w:rFonts w:ascii="Times New Roman" w:cs="Times New Roman" w:eastAsia="Times New Roman" w:hAnsi="Times New Roman"/>
          <w:sz w:val="18"/>
          <w:szCs w:val="18"/>
          <w:b w:val="1"/>
          <w:bCs w:val="1"/>
          <w:color w:val="auto"/>
        </w:rPr>
        <w:t>Nano-X Imaging Ltd.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Israeli company with its principal office located at 94 Shlomo Shmeltzer St., Petach-Tikva, Israel 4970602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Fabrinet</w:t>
      </w:r>
      <w:r>
        <w:rPr>
          <w:rFonts w:ascii="Times New Roman" w:cs="Times New Roman" w:eastAsia="Times New Roman" w:hAnsi="Times New Roman"/>
          <w:sz w:val="18"/>
          <w:szCs w:val="18"/>
          <w:color w:val="auto"/>
        </w:rPr>
        <w:t>, an exempt company organized under the laws of the Cayman Islands with its principal office located at 160 Robinson Road #21-09 SBF Center Singapore 068914 (“</w:t>
      </w:r>
      <w:r>
        <w:rPr>
          <w:rFonts w:ascii="Times New Roman" w:cs="Times New Roman" w:eastAsia="Times New Roman" w:hAnsi="Times New Roman"/>
          <w:sz w:val="18"/>
          <w:szCs w:val="18"/>
          <w:b w:val="1"/>
          <w:bCs w:val="1"/>
          <w:color w:val="auto"/>
        </w:rPr>
        <w:t>Fabrinet</w:t>
      </w:r>
      <w:r>
        <w:rPr>
          <w:rFonts w:ascii="Times New Roman" w:cs="Times New Roman" w:eastAsia="Times New Roman" w:hAnsi="Times New Roman"/>
          <w:sz w:val="18"/>
          <w:szCs w:val="18"/>
          <w:color w:val="auto"/>
        </w:rPr>
        <w:t>”). Customer and Fabrinet are referred to herein each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Fabrinet is a provider of contract product manufacturing and engineering services to original equipment manufacturers of optical components, modules and subsystems, industrial lasers, and sensors.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desires to engage Fabrinet on a non-exclusive basis to manufacture certain of its products as provided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21"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Fabrinet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Product Manufacturing</w:t>
      </w:r>
      <w:r>
        <w:rPr>
          <w:rFonts w:ascii="Times New Roman" w:cs="Times New Roman" w:eastAsia="Times New Roman" w:hAnsi="Times New Roman"/>
          <w:sz w:val="18"/>
          <w:szCs w:val="18"/>
          <w:color w:val="auto"/>
        </w:rPr>
        <w:t>. Fabrinet will arrange sufficient capacity, as agreed between the Parties, to manufacture certain Customer products (the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including prototypes and qualification builds, in accordance with the specifications, purchase orders, build plans, and forecasts provided by Customer and in accordance with the terms of this Agreement.</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Material Procurement</w:t>
      </w:r>
      <w:r>
        <w:rPr>
          <w:rFonts w:ascii="Times New Roman" w:cs="Times New Roman" w:eastAsia="Times New Roman" w:hAnsi="Times New Roman"/>
          <w:sz w:val="18"/>
          <w:szCs w:val="18"/>
          <w:color w:val="auto"/>
        </w:rPr>
        <w:t>. As directed by Customer, Fabrinet will purchase parts, components, and material (collectively,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for Product builds as follows: Fabrinet will provide Customer with notice of the anticipated purchase price for the Materials, the vendor thereof, the expected delivery date(s), and the minimum order quantities (“</w:t>
      </w:r>
      <w:r>
        <w:rPr>
          <w:rFonts w:ascii="Times New Roman" w:cs="Times New Roman" w:eastAsia="Times New Roman" w:hAnsi="Times New Roman"/>
          <w:sz w:val="18"/>
          <w:szCs w:val="18"/>
          <w:b w:val="1"/>
          <w:bCs w:val="1"/>
          <w:color w:val="auto"/>
        </w:rPr>
        <w:t>MOQ</w:t>
      </w:r>
      <w:r>
        <w:rPr>
          <w:rFonts w:ascii="Times New Roman" w:cs="Times New Roman" w:eastAsia="Times New Roman" w:hAnsi="Times New Roman"/>
          <w:sz w:val="18"/>
          <w:szCs w:val="18"/>
          <w:color w:val="auto"/>
        </w:rPr>
        <w:t>’s”), and Customer shall authorize Fabrinet to purchase such Materials. Customer and Fabrinet will agree on a list of the long lead time Materials, which are Materials required to meet Customer’s purchase orders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(s)”) and forecasted requirements that have purchase lead times greater than [REDACTED], as well as the non-cancelable and/or non-returnable Materials, and Materials agreed upon in writing by the Parties as requiring special treatment. Fabrinet shall use commercially reasonable efforts to procure Materials at the lowest available prices based on the then-current quoted volumes.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1.3 Fabrinet will assemble, test and ship the Products in compliance with the designs, drawings, technical information, and specifications (collectively, the “</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provided by Customer.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Each Party's obligation to perform under this Agreement is expressly conditioned upon the other Party not being in material default of its obligations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Fabrinet will provide secure storage and insurance for all Customer consigned Materials and equipment (if any). Customer consigned Materials and equipment will be used solely for the assembly of Products.</w:t>
      </w:r>
    </w:p>
    <w:p>
      <w:pPr>
        <w:spacing w:after="0" w:line="378"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9" w:name="page230"/>
    <w:bookmarkEnd w:id="229"/>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Customer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 Customer will provide all Specifications required for Fabrinet to procure Materials, build, test and ship Product, and conduct other activities associated with production and delivery of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Production Forecasts and Orders</w:t>
      </w:r>
      <w:r>
        <w:rPr>
          <w:rFonts w:ascii="Times New Roman" w:cs="Times New Roman" w:eastAsia="Times New Roman" w:hAnsi="Times New Roman"/>
          <w:sz w:val="18"/>
          <w:szCs w:val="18"/>
          <w:color w:val="auto"/>
        </w:rPr>
        <w:t>. Every [REDACTED], Customer will provide Fabrinet with a written forecast that projects the anticipated types and quantities of Products that Customer expects to purchase during the following [REDACTED], itemized on a [REDACTED] basis for the first [REDACTED] and on a [REDACTED] basis thereafter (the “</w:t>
      </w:r>
      <w:r>
        <w:rPr>
          <w:rFonts w:ascii="Times New Roman" w:cs="Times New Roman" w:eastAsia="Times New Roman" w:hAnsi="Times New Roman"/>
          <w:sz w:val="18"/>
          <w:szCs w:val="18"/>
          <w:b w:val="1"/>
          <w:bCs w:val="1"/>
          <w:color w:val="auto"/>
        </w:rPr>
        <w:t>Production Forecast</w:t>
      </w:r>
      <w:r>
        <w:rPr>
          <w:rFonts w:ascii="Times New Roman" w:cs="Times New Roman" w:eastAsia="Times New Roman" w:hAnsi="Times New Roman"/>
          <w:sz w:val="18"/>
          <w:szCs w:val="18"/>
          <w:color w:val="auto"/>
        </w:rPr>
        <w:t>”). On a [REDACTED] basis, Customer will issue Orders that match the Production Forecast commitment described above and provide written releases for Product against such Orders.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Commitment to accept Order</w:t>
      </w:r>
      <w:r>
        <w:rPr>
          <w:rFonts w:ascii="Times New Roman" w:cs="Times New Roman" w:eastAsia="Times New Roman" w:hAnsi="Times New Roman"/>
          <w:sz w:val="18"/>
          <w:szCs w:val="18"/>
          <w:color w:val="auto"/>
        </w:rPr>
        <w:t>s. Fabrinet shall be committed to accept any Orders submitted by Customer that meet the terms of this Agreement and are submitted according to the Production Forecasts. If Customer issues any Order(s) for Products exceeding the Production Forecasts, Fabrinet shall use commercially reasonable efforts to supply such Products as well. Without derogating from the above, Customer will provide Fabrinet with a rolling [REDACTED] build plan and delivery schedule of the types and quantities of Products required (the “</w:t>
      </w:r>
      <w:r>
        <w:rPr>
          <w:rFonts w:ascii="Times New Roman" w:cs="Times New Roman" w:eastAsia="Times New Roman" w:hAnsi="Times New Roman"/>
          <w:sz w:val="18"/>
          <w:szCs w:val="18"/>
          <w:b w:val="1"/>
          <w:bCs w:val="1"/>
          <w:color w:val="auto"/>
        </w:rPr>
        <w:t>Build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Customer will use best efforts to ensure its Production Forecasts, Orders, and Build Plans are complete, accurate, and updated in a timely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Materials Liability</w:t>
      </w:r>
      <w:r>
        <w:rPr>
          <w:rFonts w:ascii="Times New Roman" w:cs="Times New Roman" w:eastAsia="Times New Roman" w:hAnsi="Times New Roman"/>
          <w:sz w:val="18"/>
          <w:szCs w:val="18"/>
          <w:color w:val="auto"/>
        </w:rPr>
        <w:t>. Customer will be liable for the Materials procured by Fabrinet in accordance with this Agreement if not consumed as and when contemplated by Customer’s Orders or Production Forecasts. MOQ Materials will be deemed unconsumed only after [REDACTED]. Customer acknowledges this liability includes: (i) any unconsumed MOQ Materials as set forth on the costed bill of Materials or otherwise communicated by Fabrinet to Customer in writing; (ii) Materials ordered by Fabrinet to support Customer’s requested increase, or flexibility; and (iii) the quantity of Products reflected in Customer’s Orders or Production Forecasts including Long Lead Time Materials for which Customer may provide special instructions on how these Materials are ordered. To the extent that any Materials are lost or damaged during the manufacturing process of Products due to acts or omissions of Fabrinet, Fabrinet shall be solely responsible for the cost of such Materials and for procuring substitute Materials.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Finished Goods</w:t>
      </w:r>
      <w:r>
        <w:rPr>
          <w:rFonts w:ascii="Times New Roman" w:cs="Times New Roman" w:eastAsia="Times New Roman" w:hAnsi="Times New Roman"/>
          <w:sz w:val="18"/>
          <w:szCs w:val="18"/>
          <w:color w:val="auto"/>
        </w:rPr>
        <w:t>. Customer’s acceptance of Product that has completed the manufacturing process pursuant to an Order or per the committed Build Plan to shall be delivered to Customer’s designated location in accordance with Section 6.1 below. Customer agrees to remit payment for all such Products pursuant to the payment terms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2.7 Transfer Costs. Customer is responsible for the costs and expenses associated with transfer of production, if any, from Customer’s facility or a third party’s facility to Fabrinet, and if relevant the details of such transfers to be agreed upon by the Parties.</w:t>
      </w:r>
    </w:p>
    <w:p>
      <w:pPr>
        <w:spacing w:after="0" w:line="378"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Product Demand and Inventory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3.1 Customer understands and agrees Fabrinet has no liability for Material, work in process, or Product (collectively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when Fabrinet complies with the terms of this Agreement, other than as specifically set forth in Section 2.5 above. Customer is liable for all amounts due with respect to any Inventory that remains at the expiration or termination of this Agreement, or in the event of any Order cancellation or Product cancellation or end-of-life.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Negotiated Material Prices and Terms</w:t>
      </w:r>
      <w:r>
        <w:rPr>
          <w:rFonts w:ascii="Times New Roman" w:cs="Times New Roman" w:eastAsia="Times New Roman" w:hAnsi="Times New Roman"/>
          <w:sz w:val="18"/>
          <w:szCs w:val="18"/>
          <w:color w:val="auto"/>
        </w:rPr>
        <w:t>. Material prices negotiated by Customer directly with any vendor, whether for pre-production prototype builds or based upon projected [REDACTED] volumes, will be contingent upon Fabrinet receiving the same pricing for such Materials on the same or better payment terms from the vendor. If the Material vendor does not agree to extend the quoted prices and terms to Fabrinet, Fabrinet will attempt to locate an alternative source for such Materials, which shall then be approved by Customer and added to Customer’s approved vendor list (“</w:t>
      </w:r>
      <w:r>
        <w:rPr>
          <w:rFonts w:ascii="Times New Roman" w:cs="Times New Roman" w:eastAsia="Times New Roman" w:hAnsi="Times New Roman"/>
          <w:sz w:val="18"/>
          <w:szCs w:val="18"/>
          <w:b w:val="1"/>
          <w:bCs w:val="1"/>
          <w:color w:val="auto"/>
        </w:rPr>
        <w:t>AVL</w:t>
      </w:r>
      <w:r>
        <w:rPr>
          <w:rFonts w:ascii="Times New Roman" w:cs="Times New Roman" w:eastAsia="Times New Roman" w:hAnsi="Times New Roman"/>
          <w:sz w:val="18"/>
          <w:szCs w:val="18"/>
          <w:color w:val="auto"/>
        </w:rPr>
        <w:t>”). Under no circumstances will Fabrinet be responsible for any Material price variance or any Excess Inventory (as defined in Section 4.1 below) that results from Customer’s direct negotiation of Material pricing with vendors.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Supplier Charge-back</w:t>
      </w:r>
      <w:r>
        <w:rPr>
          <w:rFonts w:ascii="Times New Roman" w:cs="Times New Roman" w:eastAsia="Times New Roman" w:hAnsi="Times New Roman"/>
          <w:sz w:val="18"/>
          <w:szCs w:val="18"/>
          <w:color w:val="auto"/>
        </w:rPr>
        <w:t>. If Customer’s failure to meet forecasted volumes established with a vendor to support [REDACTED] volume Material pricing results in a charge-back to Fabrinet, Customer will reimburse Fabrinet for the charge-back incurred by Fabrinet. Fabrinet shall notify Customer as soon as it anticipates that failure to meet forecasted volume may lead to charge backs and will use reasonable efforts to mitigate the amount of any such charge-back on behalf of Customer.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Cancellation Charges</w:t>
      </w:r>
      <w:r>
        <w:rPr>
          <w:rFonts w:ascii="Times New Roman" w:cs="Times New Roman" w:eastAsia="Times New Roman" w:hAnsi="Times New Roman"/>
          <w:sz w:val="18"/>
          <w:szCs w:val="18"/>
          <w:color w:val="auto"/>
        </w:rPr>
        <w:t>. Customer understands Fabrinet may incur charges assessed by vendors for the cancellation of Material orders (“</w:t>
      </w:r>
      <w:r>
        <w:rPr>
          <w:rFonts w:ascii="Times New Roman" w:cs="Times New Roman" w:eastAsia="Times New Roman" w:hAnsi="Times New Roman"/>
          <w:sz w:val="18"/>
          <w:szCs w:val="18"/>
          <w:b w:val="1"/>
          <w:bCs w:val="1"/>
          <w:color w:val="auto"/>
        </w:rPr>
        <w:t>Cancellation Charges</w:t>
      </w:r>
      <w:r>
        <w:rPr>
          <w:rFonts w:ascii="Times New Roman" w:cs="Times New Roman" w:eastAsia="Times New Roman" w:hAnsi="Times New Roman"/>
          <w:sz w:val="18"/>
          <w:szCs w:val="18"/>
          <w:color w:val="auto"/>
        </w:rPr>
        <w:t>”). Customer will reimburse Fabrinet for any actual Cancellation Charges incurred. Fabrinet will attempt to notify vendors of a cancellation within [REDACTED] of receipt of Customer’s cancellation notice. Fabrinet further agrees to audit a vendor’s assessment and will make the results of such audit available to Customer. Fabrinet agrees to promptly notify Customer of any Cancellation Charges and provide Customer with the option to pay the Cancellation Charges or purchase the Materials on-order.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Revaluation</w:t>
      </w:r>
      <w:r>
        <w:rPr>
          <w:rFonts w:ascii="Times New Roman" w:cs="Times New Roman" w:eastAsia="Times New Roman" w:hAnsi="Times New Roman"/>
          <w:sz w:val="18"/>
          <w:szCs w:val="18"/>
          <w:color w:val="auto"/>
        </w:rPr>
        <w:t>. Customer and Fabrinet may mutually agree, from time to time, to revise the standard cost of Materials required to manufacture Product to reflect current Materials pricing. Prior to the implementation of any price or cost reductions, Customer will issue a revaluation purchase order to Fabrinet for the aggregate price difference between the old standard cost and the new standard cost for each unit of Material validly procured by Fabrinet under the terms of this Agreement or issue a new purchase order that will replace the old purchase order for the relevant Materials. If Customer chooses not to issue a revaluation purchase order, then it must fully consume the existing inventory of Materials at the old standard price prior to the implementation of any price or cost reductions.</w:t>
      </w:r>
    </w:p>
    <w:p>
      <w:pPr>
        <w:spacing w:after="0" w:line="183"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Excess Inventory and Obsolete 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Excess Inventory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Excess Inventory</w:t>
      </w:r>
      <w:r>
        <w:rPr>
          <w:rFonts w:ascii="Times New Roman" w:cs="Times New Roman" w:eastAsia="Times New Roman" w:hAnsi="Times New Roman"/>
          <w:sz w:val="18"/>
          <w:szCs w:val="18"/>
          <w:color w:val="auto"/>
        </w:rPr>
        <w:t>” is defined as Materials purchased by Fabrinet in compliance with the terms of this Agreement that have not been consumed within [REDACTED] of Fabrinet’s receipt of such Materials (the “</w:t>
      </w:r>
      <w:r>
        <w:rPr>
          <w:rFonts w:ascii="Times New Roman" w:cs="Times New Roman" w:eastAsia="Times New Roman" w:hAnsi="Times New Roman"/>
          <w:sz w:val="18"/>
          <w:szCs w:val="18"/>
          <w:b w:val="1"/>
          <w:bCs w:val="1"/>
          <w:color w:val="auto"/>
        </w:rPr>
        <w:t>Excess Inventory Period</w:t>
      </w:r>
      <w:r>
        <w:rPr>
          <w:rFonts w:ascii="Times New Roman" w:cs="Times New Roman" w:eastAsia="Times New Roman" w:hAnsi="Times New Roman"/>
          <w:sz w:val="18"/>
          <w:szCs w:val="18"/>
          <w:color w:val="auto"/>
        </w:rPr>
        <w:t>”). Customer understands and agrees any rescheduled deliveries as set forth in Section 5.1 shall not change the Excess Inventory Period. Fabrinet will provide an Excess Inventory report to Customer during the [REDACTED]. On a [REDACTED] basis, Fabrinet will invoice Customer for all Materials deemed Excess Inventory at the standard cost including incoming freight charges and Material handling fees, as per the Customer-approved Product quotation.</w:t>
      </w:r>
    </w:p>
    <w:p>
      <w:pPr>
        <w:spacing w:after="0" w:line="399"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Obsolete Inventory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Obsolete Inventory</w:t>
      </w:r>
      <w:r>
        <w:rPr>
          <w:rFonts w:ascii="Times New Roman" w:cs="Times New Roman" w:eastAsia="Times New Roman" w:hAnsi="Times New Roman"/>
          <w:sz w:val="18"/>
          <w:szCs w:val="18"/>
          <w:color w:val="auto"/>
        </w:rPr>
        <w:t>” is defined as (i) Materials that, as a result of an ECO (defined in Section 9 below), Product cancellation, or end-of-life, have not been or will no longer be utilized in the manufacture of Product; or (ii) Materials that have aged beyond the shelf-life period agreed by the Parties. Fabrinet will provide an Obsolete Inventory report to Customer during the [REDACTED]. Fabrinet will promptly invoice Customer for any Materials deemed Obsolete Inventory at the standard cost including incoming freight charges and Material handling fees, as per the Customer-approved Product quotation.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4.3 Fabrinet will use commercially reasonable efforts to mitigate Customer’s liability for Excess Inventory and Obsolete Inventory. However, Fabrinet will have no obligation under this Section 4 to mitigate Customer’s liability for Excess Inventory or Obsolete Inventory with regard to any Materials purchased from vendors that prohibit the resale of such inventory to others.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4.4 Customer’s failure to timely pay for Excess Inventory or Obsolete Inventory pursuant to the terms of this Agreement, upon presentation of a valid undisputed invoice, shall be a material breach of this Agreement.</w:t>
      </w:r>
    </w:p>
    <w:p>
      <w:pPr>
        <w:spacing w:after="0" w:line="158"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Product Schedule Changes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 No delivery schedule changes are permitted for work-in-process to be completed and delivered within the next [REDACTED]from the date of change request. For deliveries scheduled between [REDACTED], Customer may push-out the delivery date of an Order, in whole or in part, one time only, for a maximum period of up to [REDACTED] from the originally scheduled delivery date. Finished Product may not be rescheduled. Requests for exceptions will be evaluated in good faith. The Parties agree to the flexibility parameters in the following table: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5.2 Customer is responsible for Excess Inventory that may result from any changes to the delivery date as set forth in this Agreement. Customer is also responsible for additional reasonable costs incurred by Fabrinet due to schedule changes, including increases in freight cost and/or modification or rework of Inventory.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Order Cancellations</w:t>
      </w:r>
      <w:r>
        <w:rPr>
          <w:rFonts w:ascii="Times New Roman" w:cs="Times New Roman" w:eastAsia="Times New Roman" w:hAnsi="Times New Roman"/>
          <w:sz w:val="18"/>
          <w:szCs w:val="18"/>
          <w:color w:val="auto"/>
        </w:rPr>
        <w:t>. No Order cancellations are permitted for Products to be delivered within the following [REDACTED].</w:t>
      </w:r>
    </w:p>
    <w:p>
      <w:pPr>
        <w:spacing w:after="0" w:line="221"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Product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6.1 Fabrinet shall deliver Products at the requested delivery date(s) set forth in each Order, where such delivery date comports with the requirements of the Agreement. To the extent that Fabrinet anticipates that it will not be able to meet such delivery date(s) it shall provide Customer with notice as soon as it becomes aware of any such delay and shall use all efforts (including paying expedited shipping cost and bearing its own overtime labor costs) to meet the original delivery date. Unless agreed otherwise, Products will be delivered EXW the Fabrinet facility (Incoterms 2020). Title, ownership, and risk of loss or damage for such Products will pass from Fabrinet to Customer upon delivery of the Products to Customer’s designated carrier at the Fabrinet facility. As provided in Section 6.2 below, when and if the "Ship To" location in an Order is designated as Fabrinet's plant or facility, it shall mean the Products shall be transferred to the Customer's finished goods / consigned materials ("</w:t>
      </w:r>
      <w:r>
        <w:rPr>
          <w:rFonts w:ascii="Times New Roman" w:cs="Times New Roman" w:eastAsia="Times New Roman" w:hAnsi="Times New Roman"/>
          <w:sz w:val="18"/>
          <w:szCs w:val="18"/>
          <w:b w:val="1"/>
          <w:bCs w:val="1"/>
          <w:color w:val="auto"/>
        </w:rPr>
        <w:t>FG/CM</w:t>
      </w:r>
      <w:r>
        <w:rPr>
          <w:rFonts w:ascii="Times New Roman" w:cs="Times New Roman" w:eastAsia="Times New Roman" w:hAnsi="Times New Roman"/>
          <w:sz w:val="18"/>
          <w:szCs w:val="18"/>
          <w:color w:val="auto"/>
        </w:rPr>
        <w:t>") inventory at Fabrinet's plant or facility, in a secure FG/CM warehouse, and such transfer shall constitute shipment and delivery of the Products within the meaning of this Agreement. In such an event, title, ownership and risk of loss to Products shall pass to Customer upon (i) their delivery to Customer’s designated common carrier at Fabrinet’s facility or to Customer's designee at Fabrinet's facility or, alternatively, (ii) transfer into Customer's FG/CM inventory at Fabrinet's plant or facility.</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2" w:name="page233"/>
    <w:bookmarkEnd w:id="23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Bill and Hold Products</w:t>
      </w:r>
      <w:r>
        <w:rPr>
          <w:rFonts w:ascii="Times New Roman" w:cs="Times New Roman" w:eastAsia="Times New Roman" w:hAnsi="Times New Roman"/>
          <w:sz w:val="18"/>
          <w:szCs w:val="18"/>
          <w:color w:val="auto"/>
        </w:rPr>
        <w:t>. Customer may request that Fabrinet manufacture, then bill and hold a Product at Fabrinet’s plant, pending instructions on when and where it is to be shipped. Fabrinet will do so provided that:</w:t>
      </w:r>
    </w:p>
    <w:p>
      <w:pPr>
        <w:spacing w:after="0" w:line="162" w:lineRule="exact"/>
        <w:rPr>
          <w:sz w:val="20"/>
          <w:szCs w:val="20"/>
          <w:color w:val="auto"/>
        </w:rPr>
      </w:pPr>
    </w:p>
    <w:p>
      <w:pPr>
        <w:ind w:left="660" w:hanging="4"/>
        <w:spacing w:after="0" w:line="282" w:lineRule="auto"/>
        <w:tabs>
          <w:tab w:leader="none" w:pos="9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makes and confirms this request in an Order, Release, or other document by designating the "Deliver To" or "Ship To" location as Fabrinet’s plant location;</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upon packaging for shipment, will be transferred to Customer’s FG/CM warehouse (which shall be kept secure with monitored access), and will be kept in that warehouse pending receipt of shipping instructions from Customer;</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the risk of loss to the Product will transfer to Customer at the time of transfer to the FG/CM warehouse, and Fabrinet will bear no risk of loss to such Product except as may be incurred as a non-owner custodian of property owned by Customer as provided in this Agreement;</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91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[REDACTED], if the Products are still in the FG/CM warehouse, Customer will arrange for them to be shipped to Customer, or to another location owned by or leased to Customer, or as it otherwise designates;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Fabrinet’s obligations under this Agreement with respect to the manufacture of the Product, and its preparation for shipment, shall be deemed complete at the time the Product is completed, packaged for shipment, and transferred to the Customer’s FG/CM warehouse;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9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Fabrinet will invoice Customer for the Products at the time they are transferred to the FG/CM warehouse, with such invoice to be paid by Customer in accordance with the payment terms in this Agreement.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Pricing and Payment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Pricing</w:t>
      </w:r>
      <w:r>
        <w:rPr>
          <w:rFonts w:ascii="Times New Roman" w:cs="Times New Roman" w:eastAsia="Times New Roman" w:hAnsi="Times New Roman"/>
          <w:sz w:val="18"/>
          <w:szCs w:val="18"/>
          <w:color w:val="auto"/>
        </w:rPr>
        <w:t>. The Product pricing will be as provided by Fabrinet in the then-current quote and will be considered complete upon agreement by the Parties. The quotes may be updated from time to time, no more frequently than once per quarter, subject to agreement by the Parties. All quotes are based on the Fabrinet turnkey Material procurement model unless otherwise specified. Non-recurring engineering or ramp-up charges will be quoted separately per the actual costs, and agreed upon by the Parties. Any other costs not originally contemplated will be quoted separately and once approved shall be incorporated into the pricing. Further, such approval shall not be unreasonably withheld. Each quote shall include, at a minimum:</w:t>
      </w:r>
    </w:p>
    <w:p>
      <w:pPr>
        <w:spacing w:after="0" w:line="210"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[REDACTED]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[REDACTED]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[REDACTED]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[REDACTED]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Quotes that do not reasonably meet these criteria shall not be deemed final or binding until confirmed in writing by both Parties.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Price Reviews</w:t>
      </w:r>
      <w:r>
        <w:rPr>
          <w:rFonts w:ascii="Times New Roman" w:cs="Times New Roman" w:eastAsia="Times New Roman" w:hAnsi="Times New Roman"/>
          <w:sz w:val="18"/>
          <w:szCs w:val="18"/>
          <w:color w:val="auto"/>
        </w:rPr>
        <w:t>. Customer and Fabrinet agree to review changes in any costs and agree on appropriate price adjustments no more frequently than once a quarter during the term of this Agreement. The Parties will work together in good faith to aim for cost reductions of the Products each [REDACTED] after the Effective Date, or when certain factors such as volume, process changes, or demand variability occur. Any pricing adjustments shall be documented in a revised quote and approved in writing by both Parties. Fabrinet shall provide reasonable advance notice of any changes in the assumptions, costs, or other factors that may materially impact future quotes.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Material Price Changes</w:t>
      </w:r>
      <w:r>
        <w:rPr>
          <w:rFonts w:ascii="Times New Roman" w:cs="Times New Roman" w:eastAsia="Times New Roman" w:hAnsi="Times New Roman"/>
          <w:sz w:val="18"/>
          <w:szCs w:val="18"/>
          <w:color w:val="auto"/>
        </w:rPr>
        <w:t>. When market conditions cause a change (either a decrease or increase) in the individual price of Materials, Fabrinet will promptly notify Customer of the anticipated change. In the event of an increase in Materials cost, Fabrinet and Customer will attempt to find an alternative that will eliminate or reduce the price increase. In the event Fabrinet and/or the Customer cannot identify an acceptable alternative to maintain the existing price, the price of Product will be adjusted accordingly when the cost change takes effect. Changes in individual prices of Materials negotiated by Customer with a vendor will be passed through and adjusted in the Product price pursuant to Section 3.5.</w:t>
      </w:r>
    </w:p>
    <w:p>
      <w:pPr>
        <w:spacing w:after="0" w:line="399"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7.4 Upon Customer's request for the performance of services not described herein, Fabrinet will quantify the cost of such services and provide a quotation for Customer’s prior written approval. Upon receipt of invoice, Customer will be responsible for payment pursuant to the terms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7.5 Fabrinet will buy Material at the direction of Customer in accordance with the current forecasts, provided that the purchase amounts for Material pursuant to such forecasts is within Customer’s then-current credit limit as determined by Fabrinet’s credit department based on Fabrinet’s good-faith assessment of Customer’s creditworthiness. Fabrinet will submit invoices upon Product shipment and subject to Customer’s then-current credit limit.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Payment is due and payable to Fabrinet in U.S. dollars no later than [REDACTED] from invoice date. Payment will be made via wire funds transfer according to instructions provided by Fabrinet.</w:t>
      </w:r>
    </w:p>
    <w:p>
      <w:pPr>
        <w:spacing w:after="0" w:line="158"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8.1 Fabrinet shall, at a minimum, meet the QA requirements set forth in the Quality Agreement included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Without derogating from such Quality Agreement, Fabrinet will notify Customer in writing of any proposed changes to Product or related manufacturing and quality assurance processes at least [REDACTED] before any such changes are implemented. Such notice will include the reason for the change, details of its implementation, and the planned date of the change. Customer may request test data and a sufficient sampling of Products affected by any proposed changes. No changes will be made without Customer’s prior written consent.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Fabrinet will perform incoming quality inspections on Materials pursuant to agreed-upon inspection criteria.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8.3 Customer and its end-customer will have the right to inspect the facility where a Product is manufactured, at a reasonable time and upon reasonable notice to Fabrinet.</w:t>
      </w:r>
    </w:p>
    <w:p>
      <w:pPr>
        <w:spacing w:after="0" w:line="158"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Engineering Change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9.1 Customer may revise its Specifications at any time by submitting an engineering change order (“</w:t>
      </w:r>
      <w:r>
        <w:rPr>
          <w:rFonts w:ascii="Times New Roman" w:cs="Times New Roman" w:eastAsia="Times New Roman" w:hAnsi="Times New Roman"/>
          <w:sz w:val="18"/>
          <w:szCs w:val="18"/>
          <w:b w:val="1"/>
          <w:bCs w:val="1"/>
          <w:color w:val="auto"/>
        </w:rPr>
        <w:t>ECO</w:t>
      </w:r>
      <w:r>
        <w:rPr>
          <w:rFonts w:ascii="Times New Roman" w:cs="Times New Roman" w:eastAsia="Times New Roman" w:hAnsi="Times New Roman"/>
          <w:sz w:val="18"/>
          <w:szCs w:val="18"/>
          <w:color w:val="auto"/>
        </w:rPr>
        <w:t>”) to Fabrinet. Customer will accept Fabrinet’s standard ECO form. Customer will be responsible for all residual or scrap Materials and work-in-process, including Excess Inventory and Obsolete Inventory that may result from an ECO.</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9.2 Fabrinet will process and price ECO's on a per-occurrence basis. Fabrinet will submit its proposal in response to Customer’s ECO's to Customer for review and approval. Fabrinet will not implement any changes without the prior written approval of Customer. Premium or additional costs that may be incurred by Fabrinet as a result of an ECO will be negotiated and, if agreed, Customer will issue a purchase order to cover such costs prior to Fabrinet’s implementation of an ECO.</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Labor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 Fabrinet will assign production supervisors, engineers, and dedicated program managers to manage the manufacture of Product. Fabrinet will also provide overall project management, including supply chain management, import/export assistance services, quality control and production management.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10.2 Fabrinet will pay all personnel hired by Fabrinet to perform the services required by this Agreement. Fabrinet will maintain all accounting records and administrative payroll taxes pertaining to such personnel.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10.3 Neither Fabrinet nor any of its employees will in any sense be considered an employee or an agent of Customer, nor will Fabrinet employees be entitled or eligible to participate in any benefits or privileges given or extended by Customer to its employees. Similarly, Customer employees will not be entitled or eligible to participate in any benefits or privileges given or extended by Fabrinet to its employees.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10.4 During the term of this Agreement, Customer and Fabrinet jointly agree not to solicit or hire current employees of the other's company unless done by mutual agreement of the Parties prior to any personal contact with the individual. Nothing herein will prohibit either Party from hiring individuals who respond to advertisements or general solicitations, whether these are placed in newspapers, trade journals, on websites, or at trade or job shows and fairs. If this clause is deemed by a court of law too broad to be enforceable, then it is the intent of the Parties that this provision be interpreted to have the broadest scope allowable under current law.</w:t>
      </w:r>
    </w:p>
    <w:p>
      <w:pPr>
        <w:spacing w:after="0" w:line="179" w:lineRule="exact"/>
        <w:rPr>
          <w:sz w:val="20"/>
          <w:szCs w:val="20"/>
          <w:color w:val="auto"/>
        </w:rPr>
      </w:pPr>
    </w:p>
    <w:p>
      <w:pPr>
        <w:jc w:val="both"/>
        <w:ind w:firstLine="8"/>
        <w:spacing w:after="0" w:line="257" w:lineRule="auto"/>
        <w:tabs>
          <w:tab w:leader="none" w:pos="27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Customer Equipment and Tooling</w:t>
      </w:r>
      <w:r>
        <w:rPr>
          <w:rFonts w:ascii="Times New Roman" w:cs="Times New Roman" w:eastAsia="Times New Roman" w:hAnsi="Times New Roman"/>
          <w:sz w:val="18"/>
          <w:szCs w:val="18"/>
          <w:color w:val="auto"/>
        </w:rPr>
        <w:t>. All equipment, tooling, workbenches, parts (whether assembled or unassembled) and packaging furnished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Fabrinet by Customer pursuant to this Agreement (the “</w:t>
      </w:r>
      <w:r>
        <w:rPr>
          <w:rFonts w:ascii="Times New Roman" w:cs="Times New Roman" w:eastAsia="Times New Roman" w:hAnsi="Times New Roman"/>
          <w:sz w:val="18"/>
          <w:szCs w:val="18"/>
          <w:b w:val="1"/>
          <w:bCs w:val="1"/>
          <w:color w:val="auto"/>
        </w:rPr>
        <w:t>Customer Equipment</w:t>
      </w:r>
      <w:r>
        <w:rPr>
          <w:rFonts w:ascii="Times New Roman" w:cs="Times New Roman" w:eastAsia="Times New Roman" w:hAnsi="Times New Roman"/>
          <w:sz w:val="18"/>
          <w:szCs w:val="18"/>
          <w:color w:val="auto"/>
        </w:rPr>
        <w:t>”) will be delivered DDP the Fabrinet facility (Incoterms 2020). The Customer Equipment will be delivered free of all liens and encumbrances and will be deemed bailed to Fabrinet for Customer's benefit, and title thereto will at all times remain with Customer. Fabrinet will provide safe and secure storage for Customer Equipment, which will be used solely for the assembly of Product. Fabrinet shall be solely liable for any loss or damage to any Customer Equipment while in Fabrinet’s custody and control and shall indemnify Customer for any such costs.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Equipment Delivery</w:t>
      </w:r>
      <w:r>
        <w:rPr>
          <w:rFonts w:ascii="Times New Roman" w:cs="Times New Roman" w:eastAsia="Times New Roman" w:hAnsi="Times New Roman"/>
          <w:sz w:val="18"/>
          <w:szCs w:val="18"/>
          <w:color w:val="auto"/>
        </w:rPr>
        <w:t>. Fabrinet will provide assistance to facilitate the delivery of Customer Equipment to and from the Fabrinet facility, using information provided by Customer. Customer will provide accurate description and valuation, certificate of origin, technical specifications, maintenance and calibration requirements, and other literature for the Customer Equipment in a timely fashion. Customer will be responsible for transportation costs in both directions (to and from the Fabrinet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Notwithstanding the foregoing, Fabrinet will be entitled to retain possession of and use the Customer Equipment to manufacture and assemble the Product until such time as all Materials purchased by Fabrinet pursuant to this Agreement are paid for in full by Customer or otherwise incorporated into finished Product. Customer grants Fabrinet a security interest in Customer Equipment in its possession to secure all performance due Fabrinet under this Agreement.</w:t>
      </w:r>
    </w:p>
    <w:p>
      <w:pPr>
        <w:spacing w:after="0" w:line="396"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7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5" w:name="page236"/>
    <w:bookmarkEnd w:id="2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Fabrinet will be responsible to arrange the performance of ongoing routine maintenance and calibration of the Customer Equipment. Customer will be responsible for the costs and expenses of such calibration and maintenance of Customer Equipment.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Surplus Properties</w:t>
      </w:r>
      <w:r>
        <w:rPr>
          <w:rFonts w:ascii="Times New Roman" w:cs="Times New Roman" w:eastAsia="Times New Roman" w:hAnsi="Times New Roman"/>
          <w:sz w:val="18"/>
          <w:szCs w:val="18"/>
          <w:color w:val="auto"/>
        </w:rPr>
        <w:t>. Customer Equipment and Consigned Assets (as defined in Section 11.5) the Parties agree will no longer be used for production (the “</w:t>
      </w:r>
      <w:r>
        <w:rPr>
          <w:rFonts w:ascii="Times New Roman" w:cs="Times New Roman" w:eastAsia="Times New Roman" w:hAnsi="Times New Roman"/>
          <w:sz w:val="18"/>
          <w:szCs w:val="18"/>
          <w:b w:val="1"/>
          <w:bCs w:val="1"/>
          <w:color w:val="auto"/>
        </w:rPr>
        <w:t>Surplus Properties</w:t>
      </w:r>
      <w:r>
        <w:rPr>
          <w:rFonts w:ascii="Times New Roman" w:cs="Times New Roman" w:eastAsia="Times New Roman" w:hAnsi="Times New Roman"/>
          <w:sz w:val="18"/>
          <w:szCs w:val="18"/>
          <w:color w:val="auto"/>
        </w:rPr>
        <w:t>”) will be kept in a safe place, however, such items will not be maintained or calibrated. After [REDACTED] of non-use, Fabrinet may charge Customer a storage fee based on the actual space required to store Surplus Properties based on then-current warehouse space cost. After [REDACTED] of non-use and storage, Fabrinet will no longer maintain insurance coverage for Surplus Properties and risk of loss or damage for such assets shall transfer to Customer and Customer must promptly remove the Surplus Properties from Fabrinet’s premises.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Fabrinet, at its own expense, will purchase general insurance coverage in the amount of the agreed value as declared for Customer Equipment and other Customer-consigned machinery, stocks, and/or inventory (collectively the “</w:t>
      </w:r>
      <w:r>
        <w:rPr>
          <w:rFonts w:ascii="Times New Roman" w:cs="Times New Roman" w:eastAsia="Times New Roman" w:hAnsi="Times New Roman"/>
          <w:sz w:val="18"/>
          <w:szCs w:val="18"/>
          <w:b w:val="1"/>
          <w:bCs w:val="1"/>
          <w:color w:val="auto"/>
        </w:rPr>
        <w:t>Consigned Assets</w:t>
      </w:r>
      <w:r>
        <w:rPr>
          <w:rFonts w:ascii="Times New Roman" w:cs="Times New Roman" w:eastAsia="Times New Roman" w:hAnsi="Times New Roman"/>
          <w:sz w:val="18"/>
          <w:szCs w:val="18"/>
          <w:color w:val="auto"/>
        </w:rPr>
        <w:t>”). For Consigned Assets held in the care and custody of Fabrinet, the basis of valuation shall be the agreed value as set forth in a declaration of such assets prior to loss or damage. Customer will provide to Fabrinet’s Insurance Department, not more frequently than on a quarterly calendar basis, an accurate list of its Consigned Assets along with its estimate of the replacement as the new value of such assets. Customer will use its best efforts to ensure its list of Consigned Assets and valuation is complete and accurate. Upon receipt of Customer’s information, Fabrinet will review and respond in writing with any questions or concerns. Fabrinet and Customer then will decide on the agreed value as declared of Consigned Assets and Fabrinet will ensure it has insurance coverage in such amount not later than the following calendar quarter. Fabrinet will not be responsible for and Customer shall not make a claim against Fabrinet for any loss or damage in excess of the agreed value as declared of the Consigned Assets or for any inadequate insurance coverage resulting from Customer’s failure to provide complete and accurate information with regard to the identification and valuation of Consigned Assets. If Customer has its own insurance to cover any Consigned Assets, Customer shall promptly notify and provide a copy of its insurance policy to Fabrinet and confirm that the Customer’s insurers agree to waive any subrogation rights against Fabrinet.</w:t>
      </w:r>
    </w:p>
    <w:p>
      <w:pPr>
        <w:spacing w:after="0" w:line="186"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Inspection and </w:t>
      </w:r>
      <w:r>
        <w:rPr>
          <w:rFonts w:ascii="Times New Roman" w:cs="Times New Roman" w:eastAsia="Times New Roman" w:hAnsi="Times New Roman"/>
          <w:sz w:val="18"/>
          <w:szCs w:val="18"/>
          <w:b w:val="1"/>
          <w:bCs w:val="1"/>
          <w:u w:val="single" w:color="auto"/>
          <w:color w:val="auto"/>
        </w:rPr>
        <w:t>Warranty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Customer shall have the right upon reasonable notice to Fabrinet (of not less than [REDACTED]) to inspect Fabrinet's manufacturing facilities and receive all reasonable information related to the manufacturing process.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 Fabrinet warrants that Products will be manufactured in strict compliance with the Specifications and be free from defects in Fabrinet’s workmanship under normal use and operation. The above warranty will remain in effect for a period of [REDACTED] from the date any Product is initially delivered to Customer (the “</w:t>
      </w:r>
      <w:r>
        <w:rPr>
          <w:rFonts w:ascii="Times New Roman" w:cs="Times New Roman" w:eastAsia="Times New Roman" w:hAnsi="Times New Roman"/>
          <w:sz w:val="18"/>
          <w:szCs w:val="18"/>
          <w:b w:val="1"/>
          <w:bCs w:val="1"/>
          <w:color w:val="auto"/>
        </w:rPr>
        <w:t>Warranty Period</w:t>
      </w:r>
      <w:r>
        <w:rPr>
          <w:rFonts w:ascii="Times New Roman" w:cs="Times New Roman" w:eastAsia="Times New Roman" w:hAnsi="Times New Roman"/>
          <w:sz w:val="18"/>
          <w:szCs w:val="18"/>
          <w:color w:val="auto"/>
        </w:rPr>
        <w:t>”). Fabrinet will manage all warranties provided by Material suppliers but Fabrinet does not independently warrant Materials.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Repair or Replacement of Defective Product</w:t>
      </w:r>
      <w:r>
        <w:rPr>
          <w:rFonts w:ascii="Times New Roman" w:cs="Times New Roman" w:eastAsia="Times New Roman" w:hAnsi="Times New Roman"/>
          <w:sz w:val="18"/>
          <w:szCs w:val="18"/>
          <w:color w:val="auto"/>
        </w:rPr>
        <w:t>. As a sole remedy, Fabrinet shall, at its election, either repair or replace any Product that contains a defect caused by a breach of the warranty set forth in Section 12.1. If Customer desires to return a Product based on a breach of the warranty set forth in Section 12.1 (“</w:t>
      </w:r>
      <w:r>
        <w:rPr>
          <w:rFonts w:ascii="Times New Roman" w:cs="Times New Roman" w:eastAsia="Times New Roman" w:hAnsi="Times New Roman"/>
          <w:sz w:val="18"/>
          <w:szCs w:val="18"/>
          <w:b w:val="1"/>
          <w:bCs w:val="1"/>
          <w:color w:val="auto"/>
        </w:rPr>
        <w:t>RMA Product</w:t>
      </w:r>
      <w:r>
        <w:rPr>
          <w:rFonts w:ascii="Times New Roman" w:cs="Times New Roman" w:eastAsia="Times New Roman" w:hAnsi="Times New Roman"/>
          <w:sz w:val="18"/>
          <w:szCs w:val="18"/>
          <w:color w:val="auto"/>
        </w:rPr>
        <w:t>”), Customer will send a request to Fabrinet and Fabrinet will provide Customer with an RMA number. Customer will return the allegedly defective Product to the Fabrinet facility, specifying the RMA number and including documentation describing the nature of the defect, how it was discovered and under what conditions it occurred. Fabrinet will analyze any such RMA Product and, if a breach of warranty is found, then Fabrinet will repair or replace the RMA Product within [REDACTED] of receipt by Fabrinet of the RMA Product and all required associated documentation. In the event a defect is found, Fabrinet will reimburse Customer for the reasonable cost of transporting the RMA Product to the Fabrinet facility and Fabrinet will ship the repaired RMA Product or its replacement to Customer. All repaired Products will be warranted for a period of [REDACTED] from the date of shipment to Customer or the remainder of the original Warranty Period, whichever is greater. If no defect is found, Customer will reimburse Fabrinet for all fees, costs, time, and expenses incurred by Fabrinet in handling the non-defective item, and transportation costs to and from the Fabrinet facility will be borne by Customer.</w:t>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8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LIMITATION OF WARRANTY</w:t>
      </w:r>
      <w:r>
        <w:rPr>
          <w:rFonts w:ascii="Times New Roman" w:cs="Times New Roman" w:eastAsia="Times New Roman" w:hAnsi="Times New Roman"/>
          <w:sz w:val="18"/>
          <w:szCs w:val="18"/>
          <w:color w:val="auto"/>
        </w:rPr>
        <w:t>. THE WARRANTY SET FORTH IN SECTION 12.1 IS THE SOLE WARRANTY PROVIDED BY FABRINET AND IS IN LIEU OF ANY OTHER WARRANTIES EITHER EXPRESS OR IMPLIED, INCLUDING BUT NOT LIMITED TO WARRANTIES OF MERCHANTABILITY, NONINFRINGEMENT, AND FITNESS FOR A PARTICULAR PURPOSE, EACH OF WHICH IS SPECIFICALLY DISCLAIMED.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Third-Party Materials</w:t>
      </w:r>
      <w:r>
        <w:rPr>
          <w:rFonts w:ascii="Times New Roman" w:cs="Times New Roman" w:eastAsia="Times New Roman" w:hAnsi="Times New Roman"/>
          <w:sz w:val="18"/>
          <w:szCs w:val="18"/>
          <w:color w:val="auto"/>
        </w:rPr>
        <w:t>. Fabrinet will use reasonable efforts to obtain, and will pass through to Customer, any warranty rights Fabrinet receives from a third party vendor of Materials. Fabrinet will use reasonable efforts to assist Customer in enforcing such warranty rights.</w:t>
      </w:r>
    </w:p>
    <w:p>
      <w:pPr>
        <w:spacing w:after="0" w:line="158" w:lineRule="exact"/>
        <w:rPr>
          <w:sz w:val="20"/>
          <w:szCs w:val="20"/>
          <w:color w:val="auto"/>
        </w:rPr>
      </w:pPr>
    </w:p>
    <w:p>
      <w:pPr>
        <w:ind w:left="640" w:hanging="632"/>
        <w:spacing w:after="0"/>
        <w:tabs>
          <w:tab w:leader="none" w:pos="6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 and Limitation of Damages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13.1 Fabrinet shall promptly indemnify, defend, and hold Customer and its affiliates, shareholders, directors, officers, employees, contractors, agents, and other representatives harmless from and against all third-party demands, claims, actions, causes of action, proceedings, suits, assessments, losses, damages, liabilities, settlements, judgments, fines, penalties, interest, costs and expenses (including fees and disbursements of counsel) of any kind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 based upon personal injury or death or injury to property (where “property” excludes the Product itself, which is handled in accordance with Fabrinet’s warranty) to the extent caused by the negligent or willful acts or omissions of Fabrinet or its officers, employees, subcontractors or agents; (b) arising from or relating to any actual or alleged infringement, misappropriation, or alleged violation of any intellectual property rights attributable solely to Fabrinet’s manufacturing processes, and/or (c) arising from the failure to comply with applicable law and regulations.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13.2 Customer shall promptly indemnify, defend, and hold Fabrinet harmless from and against all Claims (a) based upon personal injury or death or injury to property to the extent caused by the negligent or willful acts or omissions of Customer or its officers, employees, subcontractors, or agents, (b) arising from or relating to any actual or alleged infringement, misappropriation or alleged violation of any intellectual property rights attributable to the sale or use of a Product or portion of a Product, or (c) arising from the Product’s design defect or failure to comply with “RoHS”, “WEEE”, “REACH” or other environmental legislation, where such failure was not the responsibility of Fabrinet.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Claim Process</w:t>
      </w:r>
      <w:r>
        <w:rPr>
          <w:rFonts w:ascii="Times New Roman" w:cs="Times New Roman" w:eastAsia="Times New Roman" w:hAnsi="Times New Roman"/>
          <w:sz w:val="18"/>
          <w:szCs w:val="18"/>
          <w:color w:val="auto"/>
        </w:rPr>
        <w:t>. The Party seeking indemnification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notify the indemnifying Party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promptly of any such Claim and Indemnitor shall be entitled to assume the defense of any such Claim. Indemnitee has the option to participate in Indemnitor’s defense with Indemnitee’s chosen counsel and Indemnitor shall make reasonable efforts to fully cooperate with such participation. In such event, Indemnitor will not have any responsibility for Indemnitee’s attorney’s fees in respect of such participation.</w:t>
      </w:r>
    </w:p>
    <w:p>
      <w:pPr>
        <w:spacing w:after="0" w:line="396"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9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ind w:left="66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LIMITATION OF DAMAGES.</w:t>
      </w:r>
    </w:p>
    <w:p>
      <w:pPr>
        <w:spacing w:after="0" w:line="225" w:lineRule="exact"/>
        <w:rPr>
          <w:sz w:val="20"/>
          <w:szCs w:val="20"/>
          <w:color w:val="auto"/>
        </w:rPr>
      </w:pPr>
    </w:p>
    <w:p>
      <w:pPr>
        <w:jc w:val="both"/>
        <w:ind w:firstLine="656"/>
        <w:spacing w:after="0" w:line="254" w:lineRule="auto"/>
        <w:tabs>
          <w:tab w:leader="none" w:pos="91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EXCEPTING THE INDEMNITIES IN SECTION 13 OR A BREACH OF THE CONFIDENTIALITY PROVISIONS AS SET FORTH HEREIN, UNDER NO CIRCUMSTANCES WILL EITHER PARTY BE LIABLE TO THE OTHER PARTY UNDER ANY CONTRACT, TORT (INCLUDING NEGLIGENCE, STRICT LIABILITY, OR OTHERWISE), OR OTHER LEGAL OR EQUITABLE CLAIM OR THEORY OF LIABILITY FOR ANY SPECIAL, INCIDENTAL, CONSEQUENTIAL, INDIRECT, EXEMPLARY, OR PUNITIVE DAMAGES, PENALTIES, LOSS OF GOODWILL, BUSINESS PROFITS, LOST REVENUE, ANTICIPATED SAVINGS, BUSINESS INTERRUPTION, WORK STOPPAGE, DATA LOSS, COMPUTER FAILURE OR MALFUNCTION, OR OTHER ECONOMIC LOSS FOR SERVICES ARISING OUT OF THIS AGREEMENT, REGARDLESS OF WHETHER OR NOT SUCH PARTY WAS INFORMED OR WAS AWARE OF THE POSSIBILITY OF SUCH LOSS OR DAMAGES.</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EXCEPTING THE INDEMNITIES IN SECTION 13, OR A BREACH OF THE CONFIDENTIALITY PROVISIONS AS SET FORTH HEREIN THE LIABILITY OF FABRINET FOR ANY CLAIM ARISING OUT OF THIS AGREEMENT OR THE SERVICES PERFORMED OR PRODUCT MANUFACTURED UNDER THIS AGREEMENT SHALL BE LIMITED TO THE HIGHER OF EITHER (I) [REDACTED] OF FABRINET’S REVENUE FROM THE MANUFACTURE OF THE RELEVANT PRODUCT(S) IN THE [REDACTED] PRECEDING FABRINET’S RECEIPT OF A WRITTEN NOTICE OF A CLAIM, OR (II) [REDACTED] (THE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FABRINET’S COSTS TO PROVIDE ITS WARRANTY REMEDY SHALL NOT APPLY TO THE CAP.</w:t>
      </w:r>
    </w:p>
    <w:p>
      <w:pPr>
        <w:spacing w:after="0" w:line="183"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 and Duties</w:t>
      </w:r>
      <w:r>
        <w:rPr>
          <w:rFonts w:ascii="Times New Roman" w:cs="Times New Roman" w:eastAsia="Times New Roman" w:hAnsi="Times New Roman"/>
          <w:sz w:val="18"/>
          <w:szCs w:val="18"/>
          <w:color w:val="auto"/>
        </w:rPr>
        <w:t>. Customer will pay all customs tariffs, bonds, and broker charges and all other charges, fees, levies, or assessments required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Thai law with respect to the import to or export from Thailand of any equipment or Materials necessary for the manufacture of Product or as otherwise required by the terms of this Agreement.</w:t>
      </w:r>
    </w:p>
    <w:p>
      <w:pPr>
        <w:spacing w:after="0" w:line="170" w:lineRule="exact"/>
        <w:rPr>
          <w:rFonts w:ascii="Times New Roman" w:cs="Times New Roman" w:eastAsia="Times New Roman" w:hAnsi="Times New Roman"/>
          <w:sz w:val="18"/>
          <w:szCs w:val="18"/>
          <w:color w:val="auto"/>
        </w:rPr>
      </w:pPr>
    </w:p>
    <w:p>
      <w:pPr>
        <w:jc w:val="both"/>
        <w:ind w:firstLine="8"/>
        <w:spacing w:after="0" w:line="257" w:lineRule="auto"/>
        <w:tabs>
          <w:tab w:leader="none" w:pos="3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Each Party will not disclose any trade secrets, intellectual property, or confidential or proprietary information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the other Party to any third party and will protect the Confidential Information it receives with the same degree of care it provides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Confidential Information, but not less than a reasonable degree of care, so as to prevent its unauthorized use, dissemination or publication. All Confidential Information will be clearly marked as such by the Party which wishes the Confidential Information remain secret. This clause will not apply to information in the public domain generally available through other sources, legitimately obtained from third parties, or already in the possession of the receiving Party.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Parties acknowledge that both Parties are public companies, traded on the Nasdaq and NYSE stock exchanges and as such each Party is subject to disclosure requirements under applicable laws and regulations (including securities laws), and therefore it shall be entitled to issue public statements in connection with the engagement hereunder, to the minimal extent required under such laws and regulations. Furthermore, it should be noted that Confidential Information, the Agreement and its terms, and any other information related to the manufacturing and delivery of the Products may be considered material nonpublic information under the Securities and Exchange Commission Rule 10b-5.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explicitly set forth above as may be required under law, and unless by mutual agreement, neither Party shall make any announcement or public reference relating expressly to discussions relating to this Agreement or the terms of this Agreement.</w:t>
      </w:r>
    </w:p>
    <w:p>
      <w:pPr>
        <w:spacing w:after="0" w:line="158" w:lineRule="exact"/>
        <w:rPr>
          <w:sz w:val="20"/>
          <w:szCs w:val="20"/>
          <w:color w:val="auto"/>
        </w:rPr>
      </w:pPr>
    </w:p>
    <w:p>
      <w:pPr>
        <w:jc w:val="both"/>
        <w:ind w:firstLine="8"/>
        <w:spacing w:after="0" w:line="268" w:lineRule="auto"/>
        <w:tabs>
          <w:tab w:leader="none" w:pos="27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will be for an initial period of [REDACTED] commencing on the Effective Date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After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this Agreement will renew automatically for successive [REDACTED] periods (each a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unless a Party provides written notice of its intent to terminate the Agreement no later than [REDACTED] prior to the expiration of the Initial Term or any Renewal Term.</w:t>
      </w:r>
    </w:p>
    <w:p>
      <w:pPr>
        <w:spacing w:after="0" w:line="391"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10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8" w:name="page239"/>
    <w:bookmarkEnd w:id="238"/>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17.1 This Agreement may be terminated (i) by mutual agreement of the Parties; (ii) upon [REDACTED] prior written notice if either Party reasonably determines the business relationship should be terminated, or (iii) for cause if a material default has not been cured [REDACTED] following delivery of written notice by the affected Party, as described in Section 17.2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17.2 In the event of a material breach of this Agreement, the non-breaching Party must provide written notice to the breaching Party, who will have [REDACTED] to cure. Either Party may terminate this Agreement if a material breach of this Agreement remains uncured [REDACTED] following delivery of written notice. The Parties agree it is not the intent of the cure period to leverage any extension of the agreed payment terms.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17.3 Upon termination or expiration of this Agreement, Fabrinet will complete an orderly shutdown of the assembly operation and effect the return of Inventory, Customer Equipment, and other property of Customer. All money due and payable, including Cancellation Charges, if any, will be paid within [REDACTED] of submission of a valid invoice by Fabrinet to the Customer and before any Customer Equipment, Inventory, Product, or any other item is shipped to Customer. Fabrinet will ship all of Customer's property including Excess Inventory and Obsolete Inventory to a Customer-designated location at the expense of Customer. Fabrinet will provide documentation relating to the termination to Customer.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b w:val="1"/>
          <w:bCs w:val="1"/>
          <w:u w:val="single" w:color="auto"/>
          <w:color w:val="auto"/>
        </w:rPr>
        <w:t>Suspension of Performance</w:t>
      </w:r>
      <w:r>
        <w:rPr>
          <w:rFonts w:ascii="Times New Roman" w:cs="Times New Roman" w:eastAsia="Times New Roman" w:hAnsi="Times New Roman"/>
          <w:sz w:val="18"/>
          <w:szCs w:val="18"/>
          <w:color w:val="auto"/>
        </w:rPr>
        <w:t xml:space="preserve">. Any obligation of Fabrinet to perform under this Agreement (including, but not limited to, the delivery or manufacture of Products or the purchase of Materials) will automatically be suspended </w:t>
      </w:r>
      <w:r>
        <w:rPr>
          <w:rFonts w:ascii="Times New Roman" w:cs="Times New Roman" w:eastAsia="Times New Roman" w:hAnsi="Times New Roman"/>
          <w:sz w:val="18"/>
          <w:szCs w:val="18"/>
          <w:i w:val="1"/>
          <w:iCs w:val="1"/>
          <w:color w:val="auto"/>
        </w:rPr>
        <w:t>in toto</w:t>
      </w:r>
      <w:r>
        <w:rPr>
          <w:rFonts w:ascii="Times New Roman" w:cs="Times New Roman" w:eastAsia="Times New Roman" w:hAnsi="Times New Roman"/>
          <w:sz w:val="18"/>
          <w:szCs w:val="18"/>
          <w:color w:val="auto"/>
        </w:rPr>
        <w:t xml:space="preserve"> without any notice or further action by Fabrinet at such time as any amount due Fabrinet under this Agreement and which is not disputed by Customer in good faith remains unpaid in whole or in part more than [REDACTED] after such amount first becomes due, and Fabrinet will have no obligation to further perform under this Agreement until all such delinquent amounts are paid in full. Notwithstanding the automatic suspension of Fabrinet’s performance obligations, Fabrinet may, in its sole discretion, elect to perform on terms and conditions it deems appropriate, and Fabrinet will be entitled to payment for such performance pursuant to the terms of this Agreement.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b w:val="1"/>
          <w:bCs w:val="1"/>
          <w:u w:val="single" w:color="auto"/>
          <w:color w:val="auto"/>
        </w:rPr>
        <w:t>Build-Out License</w:t>
      </w:r>
      <w:r>
        <w:rPr>
          <w:rFonts w:ascii="Times New Roman" w:cs="Times New Roman" w:eastAsia="Times New Roman" w:hAnsi="Times New Roman"/>
          <w:sz w:val="18"/>
          <w:szCs w:val="18"/>
          <w:color w:val="auto"/>
        </w:rPr>
        <w:t>. Customer grants Fabrinet a royalty-free, world-wide, non-exclusive, non-transferable license to Customer’s intellectual property (including, but not limited to, patents, copyrights, trademarks and trade secrets) to the extent incorporated, embodied, or utilized in the manufacture of the Product for the limited purpose of enabling Fabrinet (i) to complete the manufacture of Product to the extent of work-in-process and Materials on-hand or on-order at the time of termination of this Agreement (the “</w:t>
      </w:r>
      <w:r>
        <w:rPr>
          <w:rFonts w:ascii="Times New Roman" w:cs="Times New Roman" w:eastAsia="Times New Roman" w:hAnsi="Times New Roman"/>
          <w:sz w:val="18"/>
          <w:szCs w:val="18"/>
          <w:b w:val="1"/>
          <w:bCs w:val="1"/>
          <w:color w:val="auto"/>
        </w:rPr>
        <w:t>Build-out Product</w:t>
      </w:r>
      <w:r>
        <w:rPr>
          <w:rFonts w:ascii="Times New Roman" w:cs="Times New Roman" w:eastAsia="Times New Roman" w:hAnsi="Times New Roman"/>
          <w:sz w:val="18"/>
          <w:szCs w:val="18"/>
          <w:color w:val="auto"/>
        </w:rPr>
        <w:t>”) and (ii) to market, distribute and sell all Build-out Product to Customer only. This license shall not survive any termination of this Agreement.</w:t>
      </w:r>
    </w:p>
    <w:p>
      <w:pPr>
        <w:spacing w:after="0" w:line="179" w:lineRule="exact"/>
        <w:rPr>
          <w:sz w:val="20"/>
          <w:szCs w:val="20"/>
          <w:color w:val="auto"/>
        </w:rPr>
      </w:pPr>
    </w:p>
    <w:p>
      <w:pPr>
        <w:jc w:val="both"/>
        <w:ind w:firstLine="8"/>
        <w:spacing w:after="0" w:line="262" w:lineRule="auto"/>
        <w:tabs>
          <w:tab w:leader="none" w:pos="27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Subject to Section 15 above, neither Party will refer to this Agreement in any publicity or advertising or disclose to any third party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without the written consent of the other Party. A Party may disclose the existence of this Agreement and its terms to its attorneys and accountants, vendors, and end-customers, subject to reasonable confidentiality restrictions, and only to the extent necessary to perform its obligations and enforce its rights hereunder.</w:t>
      </w:r>
    </w:p>
    <w:p>
      <w:pPr>
        <w:spacing w:after="0" w:line="396"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jc w:val="both"/>
        <w:ind w:firstLine="8"/>
        <w:spacing w:after="0" w:line="256" w:lineRule="auto"/>
        <w:tabs>
          <w:tab w:leader="none" w:pos="27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Neither Party will be liable for any delay in performing, or for failing to perform, its obligations under this Agreement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money) resulting from a "force majeure" being risks beyond the reasonable control of a Party, incurred not as a product or result of the negligence of the afflicted Party, which have a materially adverse effect on the ability of such Party to perform its obligations under this Agreement; provided the Party affected by such event promptly notifies the other Party of the force majeure event within no more than [REDACTED] from discovery of the event. If the delays caused by the force majeure event are not cured within [REDACTED] of the notice of the force majeure event, then either Party may terminate this Agreement. Termination of this Agreement pursuant to this Section 19 shall not affect Customer’s obligation to pay Fabrinet for services provided, as set forth herein.</w:t>
      </w:r>
    </w:p>
    <w:p>
      <w:pPr>
        <w:spacing w:after="0" w:line="182"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color w:val="auto"/>
        </w:rPr>
        <w:t>. Fabrinet will perform its obligations hereunder as an independent contractor. Nothing in this agreement will be construed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imply a partnership, joint venture, or agency relationship between the Parties. Neither Party shall be entitled to create any financial or other obligations with third parties on behalf of the other Party, except as expressly contemplated by this Agreement.</w:t>
      </w:r>
    </w:p>
    <w:p>
      <w:pPr>
        <w:spacing w:after="0" w:line="170" w:lineRule="exact"/>
        <w:rPr>
          <w:rFonts w:ascii="Times New Roman" w:cs="Times New Roman" w:eastAsia="Times New Roman" w:hAnsi="Times New Roman"/>
          <w:sz w:val="18"/>
          <w:szCs w:val="18"/>
          <w:color w:val="auto"/>
        </w:rPr>
      </w:pPr>
    </w:p>
    <w:p>
      <w:pPr>
        <w:jc w:val="both"/>
        <w:ind w:firstLine="8"/>
        <w:spacing w:after="0" w:line="262" w:lineRule="auto"/>
        <w:tabs>
          <w:tab w:leader="none" w:pos="28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Neither Party may assign, delegate or transfer this Agreement or any of its rights or obligations arising hereunder, in whole or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the other Party, which consent will not be unreasonably withheld, conditioned or delayed, except that Fabrinet (i) may assign its obligations to a subsidiary or affiliate, and (ii) either Party may freely assign this Agreement to any third party in connection with a sale of all or substantially all of the shares and/or assets to any such third party. Any purported assignment without such consent shall be null and void.</w:t>
      </w:r>
    </w:p>
    <w:p>
      <w:pPr>
        <w:spacing w:after="0" w:line="176"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and other communications made hereunder will be in writing and will be given either by personal delivery, by 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overnight courier (with charges prepaid), or by email and registered post to the respective Parties at the following addresses: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3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to Customer:</w:t>
            </w:r>
          </w:p>
        </w:tc>
        <w:tc>
          <w:tcPr>
            <w:tcW w:w="1280" w:type="dxa"/>
            <w:vAlign w:val="bottom"/>
            <w:tcBorders>
              <w:top w:val="single" w:sz="8" w:color="auto"/>
              <w:right w:val="single" w:sz="8" w:color="auto"/>
            </w:tcBorders>
          </w:tcPr>
          <w:p>
            <w:pPr>
              <w:spacing w:after="0"/>
              <w:rPr>
                <w:sz w:val="21"/>
                <w:szCs w:val="21"/>
                <w:color w:val="auto"/>
              </w:rPr>
            </w:pPr>
          </w:p>
        </w:tc>
        <w:tc>
          <w:tcPr>
            <w:tcW w:w="56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 to Fabrinet:</w:t>
            </w:r>
          </w:p>
        </w:tc>
      </w:tr>
      <w:tr>
        <w:trPr>
          <w:trHeight w:val="395"/>
        </w:trPr>
        <w:tc>
          <w:tcPr>
            <w:tcW w:w="4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Nano-X Imaging Ltd. 94 Shlomo Shmeltzer St.,</w:t>
            </w:r>
          </w:p>
        </w:tc>
        <w:tc>
          <w:tcPr>
            <w:tcW w:w="12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Fabrinet</w:t>
            </w:r>
          </w:p>
        </w:tc>
      </w:tr>
      <w:tr>
        <w:trPr>
          <w:trHeight w:val="216"/>
        </w:trPr>
        <w:tc>
          <w:tcPr>
            <w:tcW w:w="4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Petach-Tikva, Israel 4970602 ATTN:</w:t>
            </w:r>
          </w:p>
        </w:tc>
        <w:tc>
          <w:tcPr>
            <w:tcW w:w="12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Fabrinet Pte. Ltd.</w:t>
            </w:r>
          </w:p>
        </w:tc>
      </w:tr>
      <w:tr>
        <w:trPr>
          <w:trHeight w:val="216"/>
        </w:trPr>
        <w:tc>
          <w:tcPr>
            <w:tcW w:w="4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[REDACTED]</w:t>
            </w:r>
          </w:p>
        </w:tc>
        <w:tc>
          <w:tcPr>
            <w:tcW w:w="12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160 Robinson Road #21-09 SBF Center</w:t>
            </w:r>
          </w:p>
        </w:tc>
      </w:tr>
      <w:tr>
        <w:trPr>
          <w:trHeight w:val="216"/>
        </w:trPr>
        <w:tc>
          <w:tcPr>
            <w:tcW w:w="436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Singapore 068914</w:t>
            </w:r>
          </w:p>
        </w:tc>
      </w:tr>
      <w:tr>
        <w:trPr>
          <w:trHeight w:val="234"/>
        </w:trPr>
        <w:tc>
          <w:tcPr>
            <w:tcW w:w="436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[REDACTED]</w:t>
            </w:r>
          </w:p>
        </w:tc>
      </w:tr>
      <w:tr>
        <w:trPr>
          <w:trHeight w:val="414"/>
        </w:trPr>
        <w:tc>
          <w:tcPr>
            <w:tcW w:w="4360" w:type="dxa"/>
            <w:vAlign w:val="bottom"/>
            <w:tcBorders>
              <w:lef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234"/>
        </w:trPr>
        <w:tc>
          <w:tcPr>
            <w:tcW w:w="436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[REDACTED]</w:t>
            </w:r>
          </w:p>
        </w:tc>
      </w:tr>
      <w:tr>
        <w:trPr>
          <w:trHeight w:val="64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Confidential</w:t>
            </w:r>
          </w:p>
        </w:tc>
        <w:tc>
          <w:tcPr>
            <w:tcW w:w="68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Page 12 of 16</w:t>
            </w:r>
          </w:p>
        </w:tc>
      </w:tr>
    </w:tbl>
    <w:p>
      <w:pPr>
        <w:sectPr>
          <w:pgSz w:w="11900" w:h="16838" w:orient="portrait"/>
          <w:cols w:equalWidth="0" w:num="1">
            <w:col w:w="11240"/>
          </w:cols>
          <w:pgMar w:left="320" w:top="900" w:right="339" w:bottom="1440" w:gutter="0" w:footer="0" w:header="0"/>
        </w:sectPr>
      </w:pPr>
    </w:p>
    <w:bookmarkStart w:id="240" w:name="page241"/>
    <w:bookmarkEnd w:id="240"/>
    <w:p>
      <w:pPr>
        <w:jc w:val="both"/>
        <w:ind w:left="-8" w:firstLine="8"/>
        <w:spacing w:after="0" w:line="254" w:lineRule="auto"/>
        <w:tabs>
          <w:tab w:leader="none" w:pos="2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Exhibits, and any addenda attached hereto or referenced herein, constitute the complete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of the agreement of the Parties with respect to the subject matter of this Agreement, and replace and supersede all prior agreements and negotiations between the Parties. Each Party acknowledges and agrees that no agreements, representations, warranties or collateral promises or inducements have been made by any Party to this Agreement except as expressly set forth herein, or in the Exhibits and any addenda attached hereto or referenced herein, and it has not relied upon any other agreement or document, or any verbal statement or act, in executing this Agreement. These acknowledgments and agreements are contractual and not mere recitals. In the event of any inconsistency between the provisions of this Agreement and any Exhibits and any addenda attached hereto or referenced herein, the provisions of this Agreement will prevail unless expressly stipulated otherwise, in writing executed by the Parties. Pre-printed language on each Party’s forms, including Orders, acknowledgments, and invoices will not constitute part of this Agreement and will be deemed unenforceable.</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2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No course of dealing between the Parties hereto will be effective to amend, modify or change any provision of this Agreement.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not be amended, modified or changed in any respect except by an agreement in writing signed by the Party against whom such change is to be enforced. The Parties may, subject to the provisions of this Section 24, from time to time enter into supplemental written agreements for the purpose of adding any provisions to this Agreement or changing in any manner the rights and obligations of the Parties under this Agreement or any Exhibit hereto. Any such supplemental written agreement executed by the Parties will be binding upon the Parties.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26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Partial Invalidity</w:t>
      </w:r>
      <w:r>
        <w:rPr>
          <w:rFonts w:ascii="Times New Roman" w:cs="Times New Roman" w:eastAsia="Times New Roman" w:hAnsi="Times New Roman"/>
          <w:sz w:val="18"/>
          <w:szCs w:val="18"/>
          <w:color w:val="auto"/>
        </w:rPr>
        <w:t>. Whenever possible, each provision of this Agreement will be interpreted in such a way as to be effective and valid under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If a provision is prohibited by or invalid under applicable law, it will be ineffective only to the extent of such prohibition or invalidity, without invalidating the remainder of such provision or the remaining provisions of this Agreement.</w:t>
      </w:r>
    </w:p>
    <w:p>
      <w:pPr>
        <w:spacing w:after="0" w:line="170" w:lineRule="exact"/>
        <w:rPr>
          <w:rFonts w:ascii="Times New Roman" w:cs="Times New Roman" w:eastAsia="Times New Roman" w:hAnsi="Times New Roman"/>
          <w:sz w:val="18"/>
          <w:szCs w:val="18"/>
          <w:color w:val="auto"/>
        </w:rPr>
      </w:pPr>
    </w:p>
    <w:p>
      <w:pPr>
        <w:ind w:left="-8" w:firstLine="8"/>
        <w:spacing w:after="0" w:line="286" w:lineRule="auto"/>
        <w:tabs>
          <w:tab w:leader="none" w:pos="26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Waiver by either Party of any breach of any provision of this Agreement will not be considered as or constitute a continuing waiver or a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other breach of the same or any other provision of this Agreement.</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26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 and Costs</w:t>
      </w:r>
      <w:r>
        <w:rPr>
          <w:rFonts w:ascii="Times New Roman" w:cs="Times New Roman" w:eastAsia="Times New Roman" w:hAnsi="Times New Roman"/>
          <w:sz w:val="18"/>
          <w:szCs w:val="18"/>
          <w:color w:val="auto"/>
        </w:rPr>
        <w:t>. In the event attorneys' fees or other costs are incurred to enforce payment or performance of any obligation,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between the Parties or to establish damages for the breach of any obligation, agreement or covenant under this Agreement, or to obtain any other appropriate relief under this Agreement, whether by way of prosecution or defense, the prevailing Party will be entitled to recover from the other Party its reasonable attorneys' fees and costs, including any appellate fees and the costs, fees and expenses incurred to enforce or collect such judgment or award and any other relief granted, and the costs, fees, and expenses incurred to enforce or preserve the rights of one Party in a bankruptcy or other insolvency proceeding wherein the other Party is named as the debtor.</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2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color w:val="auto"/>
        </w:rPr>
        <w:t>. All matters arising out of this Agreement will be governed by the laws of the State of California,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conflicts of law principles. Venue will be the Federal Court of the Northern District of California, Santa Clara County, California. The provisions of the United Nations Convention on Contracts for the International Sale of Goods do not apply to this Agreement.</w:t>
      </w:r>
    </w:p>
    <w:p>
      <w:pPr>
        <w:spacing w:after="0" w:line="391" w:lineRule="exact"/>
        <w:rPr>
          <w:sz w:val="20"/>
          <w:szCs w:val="20"/>
          <w:color w:val="auto"/>
        </w:rPr>
      </w:pPr>
    </w:p>
    <w:p>
      <w:pPr>
        <w:ind w:left="12"/>
        <w:spacing w:after="0"/>
        <w:tabs>
          <w:tab w:leader="none" w:pos="5152"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duly authorized representatives as of the Effective Date.</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28587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06895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06895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800" w:type="dxa"/>
            <w:vAlign w:val="bottom"/>
          </w:tcPr>
          <w:p>
            <w:pPr>
              <w:spacing w:after="0"/>
              <w:rPr>
                <w:sz w:val="20"/>
                <w:szCs w:val="20"/>
                <w:color w:val="auto"/>
              </w:rPr>
            </w:pPr>
          </w:p>
        </w:tc>
      </w:tr>
      <w:tr>
        <w:trPr>
          <w:trHeight w:val="45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Erez Meltzer</w:t>
            </w:r>
          </w:p>
        </w:tc>
        <w:tc>
          <w:tcPr>
            <w:tcW w:w="28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 Ran Daniel</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800" w:type="dxa"/>
            <w:vAlign w:val="bottom"/>
          </w:tcPr>
          <w:p>
            <w:pPr>
              <w:spacing w:after="0"/>
              <w:rPr>
                <w:sz w:val="20"/>
                <w:szCs w:val="20"/>
                <w:color w:val="auto"/>
              </w:rPr>
            </w:pPr>
          </w:p>
        </w:tc>
      </w:tr>
      <w:tr>
        <w:trPr>
          <w:trHeight w:val="41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Erez Meltzer</w:t>
            </w:r>
          </w:p>
        </w:tc>
        <w:tc>
          <w:tcPr>
            <w:tcW w:w="2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Ran Daniel</w:t>
            </w:r>
          </w:p>
        </w:tc>
      </w:tr>
      <w:tr>
        <w:trPr>
          <w:trHeight w:val="439"/>
        </w:trPr>
        <w:tc>
          <w:tcPr>
            <w:tcW w:w="24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800" w:type="dxa"/>
            <w:vAlign w:val="bottom"/>
          </w:tcPr>
          <w:p>
            <w:pPr>
              <w:spacing w:after="0"/>
              <w:rPr>
                <w:sz w:val="20"/>
                <w:szCs w:val="20"/>
                <w:color w:val="auto"/>
              </w:rPr>
            </w:pPr>
          </w:p>
        </w:tc>
      </w:tr>
      <w:tr>
        <w:trPr>
          <w:trHeight w:val="421"/>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28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CFO</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240" w:space="720"/>
            <w:col w:w="5280"/>
          </w:cols>
          <w:pgMar w:left="320" w:top="900"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2" w:name="page243"/>
    <w:bookmarkEnd w:id="242"/>
    <w:p>
      <w:pPr>
        <w:jc w:val="right"/>
        <w:ind w:right="37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00" w:right="1440" w:bottom="1440" w:gutter="0" w:footer="0" w:header="0"/>
        </w:sectPr>
      </w:pPr>
    </w:p>
    <w:bookmarkStart w:id="243" w:name="page244"/>
    <w:bookmarkEnd w:id="243"/>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Exhibit B – Quality Agreement</w:t>
      </w:r>
    </w:p>
    <w:p>
      <w:pPr>
        <w:spacing w:after="0" w:line="2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[REDACTED]</w:t>
      </w:r>
    </w:p>
    <w:p>
      <w:pPr>
        <w:spacing w:after="0" w:line="200" w:lineRule="exact"/>
        <w:rPr>
          <w:sz w:val="20"/>
          <w:szCs w:val="20"/>
          <w:color w:val="auto"/>
        </w:rPr>
      </w:pPr>
    </w:p>
    <w:p>
      <w:pPr>
        <w:spacing w:after="0" w:line="245"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00" w:right="1440"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600" w:type="dxa"/>
            <w:vAlign w:val="bottom"/>
          </w:tcPr>
          <w:p>
            <w:pPr>
              <w:spacing w:after="0"/>
              <w:rPr>
                <w:sz w:val="24"/>
                <w:szCs w:val="24"/>
                <w:color w:val="auto"/>
              </w:rPr>
            </w:pPr>
          </w:p>
        </w:tc>
      </w:tr>
      <w:tr>
        <w:trPr>
          <w:trHeight w:val="46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Company</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AI LTD</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KOREA INC</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KOREA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IMAGING INC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IMAGING INC</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JAPAN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USARAD HOLDINGS INC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INC</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MDW INC</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NANO-X IMAGING INC</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AI INC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NANO-X AI LTD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XMRI.COM PLLC.</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USARAD HOLDINGS INC</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 IMPACT INC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HEALTH IT INC</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NANO-X IMAGING INC</w:t>
            </w:r>
          </w:p>
        </w:tc>
      </w:tr>
    </w:tbl>
    <w:p>
      <w:pPr>
        <w:sectPr>
          <w:pgSz w:w="11900" w:h="16838" w:orient="portrait"/>
          <w:cols w:equalWidth="0" w:num="1">
            <w:col w:w="11240"/>
          </w:cols>
          <w:pgMar w:left="320" w:top="117"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Erez Meltzer, certify that:</w:t>
      </w:r>
    </w:p>
    <w:p>
      <w:pPr>
        <w:spacing w:after="0" w:line="225"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Nano-X Imaging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involved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Erez Meltzer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 Daniel, certify that:</w:t>
      </w:r>
    </w:p>
    <w:p>
      <w:pPr>
        <w:spacing w:after="0" w:line="225" w:lineRule="exact"/>
        <w:rPr>
          <w:sz w:val="20"/>
          <w:szCs w:val="20"/>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Nano-X Imaging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w:t>
      </w:r>
    </w:p>
    <w:p>
      <w:pPr>
        <w:spacing w:after="0" w:line="252" w:lineRule="exact"/>
        <w:rPr>
          <w:sz w:val="20"/>
          <w:szCs w:val="20"/>
          <w:color w:val="auto"/>
        </w:rPr>
      </w:pPr>
    </w:p>
    <w:p>
      <w:pPr>
        <w:ind w:left="660" w:hanging="328"/>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involved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 Daniel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20-F of Nano-X Imaging Ltd. (the “Company”) for the twelve-months ended December 31, 2025, as filed with the Securities and Exchange Commission on the date hereof (the “Report”), Erez Meltzer, Chief Executive Officer of the Company, hereby certifies, pursuant to 18 U.S.C. §1350, as adopted pursuant to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30,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Erez Meltzer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Acting Chairman</w:t>
      </w:r>
    </w:p>
    <w:p>
      <w:pPr>
        <w:sectPr>
          <w:pgSz w:w="11900" w:h="16838" w:orient="portrait"/>
          <w:cols w:equalWidth="0" w:num="1">
            <w:col w:w="11240"/>
          </w:cols>
          <w:pgMar w:left="320" w:top="117"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20-F of Nano-X Imaging Ltd. (the “Company”) for the twelve-months ended December 31, 2025, as filed with the Securities and Exchange Commission on the date hereof (the “Report”), Ran Daniel, Chief Financial Officer of the Company, hereby certifies, pursuant to 18 U.S.C. §1350, as adopted pursuant to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30,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 Daniel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F-3 (Nos. 333-294302, 333-271688) and on Form S-8 (No. 333-248322) of Nano-X Imaging Ltd. of our report dated April 30, 2026 relating to the financial statements and the effectiveness of internal control over financial reporting, which appears in this Form 20-F.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Kesselman &amp; Kesselman</w:t>
            </w: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April 30, 2026</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Certified Public Accountants (Isr.)</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1."/>
      <w:numFmt w:val="upperLetter"/>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1)"/>
      <w:numFmt w:val="decimal"/>
      <w:start w:val="1"/>
    </w:lvl>
  </w:abstractNum>
  <w:abstractNum w:abstractNumId="48">
    <w:nsid w:val="6A3DD3E8"/>
    <w:multiLevelType w:val="hybridMultilevel"/>
    <w:lvl w:ilvl="0">
      <w:lvlJc w:val="left"/>
      <w:lvlText w:val="%1."/>
      <w:numFmt w:val="upperLetter"/>
      <w:start w:val="3"/>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1)"/>
      <w:numFmt w:val="lowerRoman"/>
      <w:start w:val="3"/>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1)"/>
      <w:numFmt w:val="decimal"/>
      <w:start w:val="1"/>
    </w:lvl>
  </w:abstractNum>
  <w:abstractNum w:abstractNumId="61">
    <w:nsid w:val="1CA0C5FA"/>
    <w:multiLevelType w:val="hybridMultilevel"/>
    <w:lvl w:ilvl="0">
      <w:lvlJc w:val="left"/>
      <w:lvlText w:val="(%1)"/>
      <w:numFmt w:val="decimal"/>
      <w:start w:val="8"/>
    </w:lvl>
  </w:abstractNum>
  <w:abstractNum w:abstractNumId="62">
    <w:nsid w:val="53584BCB"/>
    <w:multiLevelType w:val="hybridMultilevel"/>
    <w:lvl w:ilvl="0">
      <w:lvlJc w:val="left"/>
      <w:lvlText w:val="%1."/>
      <w:numFmt w:val="upperLetter"/>
      <w:start w:val="2"/>
    </w:lvl>
    <w:lvl w:ilvl="1">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amp;"/>
      <w:numFmt w:val="bullet"/>
      <w:start w:val="1"/>
    </w:lvl>
  </w:abstractNum>
  <w:abstractNum w:abstractNumId="68">
    <w:nsid w:val="E7FFA2B"/>
    <w:multiLevelType w:val="hybridMultilevel"/>
    <w:lvl w:ilvl="0">
      <w:lvlJc w:val="left"/>
      <w:lvlText w:val="(%1)"/>
      <w:numFmt w:val="decimal"/>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74">
    <w:nsid w:val="6C80EC70"/>
    <w:multiLevelType w:val="hybridMultilevel"/>
    <w:lvl w:ilvl="0">
      <w:lvlJc w:val="left"/>
      <w:lvlText w:val="#"/>
      <w:numFmt w:val="bullet"/>
      <w:start w:val="1"/>
    </w:lvl>
    <w:lvl w:ilvl="1">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2"/>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5"/>
    </w:lvl>
    <w:lvl w:ilvl="1">
      <w:lvlJc w:val="left"/>
      <w:lvlText w:val="%2."/>
      <w:numFmt w:val="lowerLetter"/>
      <w:start w:val="8"/>
    </w:lvl>
  </w:abstractNum>
  <w:abstractNum w:abstractNumId="81">
    <w:nsid w:val="5675FF36"/>
    <w:multiLevelType w:val="hybridMultilevel"/>
    <w:lvl w:ilvl="0">
      <w:lvlJc w:val="left"/>
      <w:lvlText w:val="%1."/>
      <w:numFmt w:val="lowerRoman"/>
      <w:start w:val="1"/>
    </w:lvl>
  </w:abstractNum>
  <w:abstractNum w:abstractNumId="82">
    <w:nsid w:val="3DD15094"/>
    <w:multiLevelType w:val="hybridMultilevel"/>
    <w:lvl w:ilvl="0">
      <w:lvlJc w:val="left"/>
      <w:lvlText w:val="%1."/>
      <w:numFmt w:val="lowerLetter"/>
      <w:start w:val="10"/>
    </w:lvl>
  </w:abstractNum>
  <w:abstractNum w:abstractNumId="83">
    <w:nsid w:val="3DB012B3"/>
    <w:multiLevelType w:val="hybridMultilevel"/>
    <w:lvl w:ilvl="0">
      <w:lvlJc w:val="left"/>
      <w:lvlText w:val="%1."/>
      <w:numFmt w:val="lowerLetter"/>
      <w:start w:val="11"/>
    </w:lvl>
  </w:abstractNum>
  <w:abstractNum w:abstractNumId="84">
    <w:nsid w:val="2708C9AF"/>
    <w:multiLevelType w:val="hybridMultilevel"/>
    <w:lvl w:ilvl="0">
      <w:lvlJc w:val="left"/>
      <w:lvlText w:val="%1."/>
      <w:numFmt w:val="lowerLetter"/>
      <w:start w:val="12"/>
    </w:lvl>
  </w:abstractNum>
  <w:abstractNum w:abstractNumId="85">
    <w:nsid w:val="5B25ACE2"/>
    <w:multiLevelType w:val="hybridMultilevel"/>
    <w:lvl w:ilvl="0">
      <w:lvlJc w:val="left"/>
      <w:lvlText w:val="%1."/>
      <w:numFmt w:val="lowerLetter"/>
      <w:start w:val="14"/>
    </w:lvl>
  </w:abstractNum>
  <w:abstractNum w:abstractNumId="86">
    <w:nsid w:val="175DFCF0"/>
    <w:multiLevelType w:val="hybridMultilevel"/>
    <w:lvl w:ilvl="0">
      <w:lvlJc w:val="left"/>
      <w:lvlText w:val="%1."/>
      <w:numFmt w:val="lowerLetter"/>
      <w:start w:val="17"/>
    </w:lvl>
    <w:lvl w:ilvl="1">
      <w:lvlJc w:val="left"/>
      <w:lvlText w:val="%2)"/>
      <w:numFmt w:val="decimal"/>
      <w:start w:val="1"/>
    </w:lvl>
  </w:abstractNum>
  <w:abstractNum w:abstractNumId="87">
    <w:nsid w:val="4F97E3E4"/>
    <w:multiLevelType w:val="hybridMultilevel"/>
    <w:lvl w:ilvl="0">
      <w:lvlJc w:val="left"/>
      <w:lvlText w:val="%1."/>
      <w:numFmt w:val="lowerLetter"/>
      <w:start w:val="20"/>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lvl w:ilvl="1">
      <w:lvlJc w:val="left"/>
      <w:lvlText w:val="%2."/>
      <w:numFmt w:val="lowerRoman"/>
      <w:start w:val="5"/>
    </w:lvl>
  </w:abstractNum>
  <w:abstractNum w:abstractNumId="92">
    <w:nsid w:val="519E3149"/>
    <w:multiLevelType w:val="hybridMultilevel"/>
    <w:lvl w:ilvl="0">
      <w:lvlJc w:val="left"/>
      <w:lvlText w:val="%1."/>
      <w:numFmt w:val="lowerLetter"/>
      <w:start w:val="23"/>
    </w:lvl>
  </w:abstractNum>
  <w:abstractNum w:abstractNumId="93">
    <w:nsid w:val="2C6E4AFD"/>
    <w:multiLevelType w:val="hybridMultilevel"/>
    <w:lvl w:ilvl="0">
      <w:lvlJc w:val="left"/>
      <w:lvlText w:val="%1."/>
      <w:numFmt w:val="lowerRoman"/>
      <w:start w:val="10"/>
    </w:lvl>
  </w:abstractNum>
  <w:abstractNum w:abstractNumId="94">
    <w:nsid w:val="17A1B582"/>
    <w:multiLevelType w:val="hybridMultilevel"/>
    <w:lvl w:ilvl="0">
      <w:lvlJc w:val="left"/>
      <w:lvlText w:val="%1."/>
      <w:numFmt w:val="lowerLetter"/>
      <w:start w:val="25"/>
    </w:lvl>
  </w:abstractNum>
  <w:abstractNum w:abstractNumId="95">
    <w:nsid w:val="4DF72E4E"/>
    <w:multiLevelType w:val="hybridMultilevel"/>
    <w:lvl w:ilvl="0">
      <w:lvlJc w:val="left"/>
      <w:lvlText w:val="%1."/>
      <w:numFmt w:val="lowerLetter"/>
      <w:start w:val="1"/>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1."/>
      <w:numFmt w:val="lowerLetter"/>
      <w:start w:val="1"/>
    </w:lvl>
  </w:abstractNum>
  <w:abstractNum w:abstractNumId="98">
    <w:nsid w:val="2A082C70"/>
    <w:multiLevelType w:val="hybridMultilevel"/>
    <w:lvl w:ilvl="0">
      <w:lvlJc w:val="left"/>
      <w:lvlText w:val="%1."/>
      <w:numFmt w:val="lowerLetter"/>
      <w:start w:val="2"/>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2"/>
    </w:lvl>
  </w:abstractNum>
  <w:abstractNum w:abstractNumId="101">
    <w:nsid w:val="75E0858A"/>
    <w:multiLevelType w:val="hybridMultilevel"/>
    <w:lvl w:ilvl="0">
      <w:lvlJc w:val="left"/>
      <w:lvlText w:val="%1."/>
      <w:numFmt w:val="lowerLetter"/>
      <w:start w:val="3"/>
    </w:lvl>
  </w:abstractNum>
  <w:abstractNum w:abstractNumId="102">
    <w:nsid w:val="57A61A29"/>
    <w:multiLevelType w:val="hybridMultilevel"/>
    <w:lvl w:ilvl="0">
      <w:lvlJc w:val="left"/>
      <w:lvlText w:val="%1."/>
      <w:numFmt w:val="lowerLetter"/>
      <w:start w:val="4"/>
    </w:lvl>
  </w:abstractNum>
  <w:abstractNum w:abstractNumId="103">
    <w:nsid w:val="5399C654"/>
    <w:multiLevelType w:val="hybridMultilevel"/>
    <w:lvl w:ilvl="0">
      <w:lvlJc w:val="left"/>
      <w:lvlText w:val="%1."/>
      <w:numFmt w:val="lowerLetter"/>
      <w:start w:val="5"/>
    </w:lvl>
  </w:abstractNum>
  <w:abstractNum w:abstractNumId="104">
    <w:nsid w:val="20EE1348"/>
    <w:multiLevelType w:val="hybridMultilevel"/>
    <w:lvl w:ilvl="0">
      <w:lvlJc w:val="left"/>
      <w:lvlText w:val="(*)"/>
      <w:numFmt w:val="bullet"/>
      <w:start w:val="1"/>
    </w:lvl>
    <w:lvl w:ilvl="1">
      <w:lvlJc w:val="left"/>
      <w:lvlText w:val="%2"/>
      <w:numFmt w:val="lowerLetter"/>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1."/>
      <w:numFmt w:val="lowerLetter"/>
      <w:start w:val="1"/>
    </w:lvl>
  </w:abstractNum>
  <w:abstractNum w:abstractNumId="108">
    <w:nsid w:val="704E1DD5"/>
    <w:multiLevelType w:val="hybridMultilevel"/>
    <w:lvl w:ilvl="0">
      <w:lvlJc w:val="left"/>
      <w:lvlText w:val="%1."/>
      <w:numFmt w:val="lowerLetter"/>
      <w:start w:val="2"/>
    </w:lvl>
  </w:abstractNum>
  <w:abstractNum w:abstractNumId="109">
    <w:nsid w:val="57D2F10E"/>
    <w:multiLevelType w:val="hybridMultilevel"/>
    <w:lvl w:ilvl="0">
      <w:lvlJc w:val="left"/>
      <w:lvlText w:val="%1."/>
      <w:numFmt w:val="lowerLetter"/>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decimal"/>
      <w:start w:val="1"/>
    </w:lvl>
    <w:lvl w:ilvl="1">
      <w:lvlJc w:val="left"/>
      <w:lvlText w:val="%2)"/>
      <w:numFmt w:val="lowerLetter"/>
      <w:start w:val="1"/>
    </w:lvl>
  </w:abstractNum>
  <w:abstractNum w:abstractNumId="113">
    <w:nsid w:val="49D0FEAC"/>
    <w:multiLevelType w:val="hybridMultilevel"/>
    <w:lvl w:ilvl="0">
      <w:lvlJc w:val="left"/>
      <w:lvlText w:val="%1."/>
      <w:numFmt w:val="decimal"/>
      <w:start w:val="2"/>
    </w:lvl>
  </w:abstractNum>
  <w:abstractNum w:abstractNumId="114">
    <w:nsid w:val="4BEE5A5B"/>
    <w:multiLevelType w:val="hybridMultilevel"/>
    <w:lvl w:ilvl="0">
      <w:lvlJc w:val="left"/>
      <w:lvlText w:val="%1."/>
      <w:numFmt w:val="decimal"/>
      <w:start w:val="3"/>
    </w:lvl>
  </w:abstractNum>
  <w:abstractNum w:abstractNumId="115">
    <w:nsid w:val="5551B9F3"/>
    <w:multiLevelType w:val="hybridMultilevel"/>
    <w:lvl w:ilvl="0">
      <w:lvlJc w:val="left"/>
      <w:lvlText w:val="%1"/>
      <w:numFmt w:val="decimal"/>
      <w:start w:val="1"/>
    </w:lvl>
    <w:lvl w:ilvl="1">
      <w:lvlJc w:val="left"/>
      <w:lvlText w:val="%2)"/>
      <w:numFmt w:val="lowerLetter"/>
      <w:start w:val="1"/>
    </w:lvl>
  </w:abstractNum>
  <w:abstractNum w:abstractNumId="116">
    <w:nsid w:val="24F6AB8E"/>
    <w:multiLevelType w:val="hybridMultilevel"/>
    <w:lvl w:ilvl="0">
      <w:lvlJc w:val="left"/>
      <w:lvlText w:val="%1."/>
      <w:numFmt w:val="decimal"/>
      <w:start w:val="4"/>
    </w:lvl>
    <w:lvl w:ilvl="1">
      <w:lvlJc w:val="left"/>
      <w:lvlText w:val="%2)"/>
      <w:numFmt w:val="lowerLetter"/>
      <w:start w:val="1"/>
    </w:lvl>
  </w:abstractNum>
  <w:abstractNum w:abstractNumId="117">
    <w:nsid w:val="634C574C"/>
    <w:multiLevelType w:val="hybridMultilevel"/>
    <w:lvl w:ilvl="0">
      <w:lvlJc w:val="left"/>
      <w:lvlText w:val="%1."/>
      <w:numFmt w:val="decimal"/>
      <w:start w:val="5"/>
    </w:lvl>
    <w:lvl w:ilvl="1">
      <w:lvlJc w:val="left"/>
      <w:lvlText w:val="%2)"/>
      <w:numFmt w:val="lowerLetter"/>
      <w:start w:val="1"/>
    </w:lvl>
  </w:abstractNum>
  <w:abstractNum w:abstractNumId="118">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19">
    <w:nsid w:val="2A31B62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120">
    <w:nsid w:val="1849C29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1">
    <w:nsid w:val="7DFF9D09"/>
    <w:multiLevelType w:val="hybridMultilevel"/>
    <w:lvl w:ilvl="0">
      <w:lvlJc w:val="left"/>
      <w:lvlText w:val="%1"/>
      <w:numFmt w:val="decimal"/>
      <w:start w:val="1"/>
    </w:lvl>
    <w:lvl w:ilvl="1">
      <w:lvlJc w:val="left"/>
      <w:lvlText w:val="%2)"/>
      <w:numFmt w:val="lowerLetter"/>
      <w:start w:val="2"/>
    </w:lvl>
  </w:abstractNum>
  <w:abstractNum w:abstractNumId="122">
    <w:nsid w:val="754342"/>
    <w:multiLevelType w:val="hybridMultilevel"/>
    <w:lvl w:ilvl="0">
      <w:lvlJc w:val="left"/>
      <w:lvlText w:val="%1."/>
      <w:numFmt w:val="decimal"/>
      <w:start w:val="11"/>
    </w:lvl>
    <w:lvl w:ilvl="1">
      <w:lvlJc w:val="left"/>
      <w:lvlText w:val="%2)"/>
      <w:numFmt w:val="lowerLetter"/>
      <w:start w:val="1"/>
    </w:lvl>
  </w:abstractNum>
  <w:abstractNum w:abstractNumId="123">
    <w:nsid w:val="69E7F3E5"/>
    <w:multiLevelType w:val="hybridMultilevel"/>
    <w:lvl w:ilvl="0">
      <w:lvlJc w:val="left"/>
      <w:lvlText w:val="%1)"/>
      <w:numFmt w:val="lowerLetter"/>
      <w:start w:val="4"/>
    </w:lvl>
    <w:lvl w:ilvl="1">
      <w:lvlJc w:val="left"/>
      <w:lvlText w:val="(%2)"/>
      <w:numFmt w:val="lowerRoman"/>
      <w:start w:val="1"/>
    </w:lvl>
  </w:abstractNum>
  <w:abstractNum w:abstractNumId="124">
    <w:nsid w:val="2A6DE806"/>
    <w:multiLevelType w:val="hybridMultilevel"/>
    <w:lvl w:ilvl="0">
      <w:lvlJc w:val="left"/>
      <w:lvlText w:val="%1."/>
      <w:numFmt w:val="decimal"/>
      <w:start w:val="12"/>
    </w:lvl>
    <w:lvl w:ilvl="1">
      <w:lvlJc w:val="left"/>
      <w:lvlText w:val="%2)"/>
      <w:numFmt w:val="lowerLetter"/>
      <w:start w:val="1"/>
    </w:lvl>
  </w:abstractNum>
  <w:abstractNum w:abstractNumId="125">
    <w:nsid w:val="1816F8C4"/>
    <w:multiLevelType w:val="hybridMultilevel"/>
    <w:lvl w:ilvl="0">
      <w:lvlJc w:val="left"/>
      <w:lvlText w:val="(%1)"/>
      <w:numFmt w:val="lowerRoman"/>
      <w:start w:val="1"/>
    </w:lvl>
  </w:abstractNum>
  <w:abstractNum w:abstractNumId="126">
    <w:nsid w:val="37DF2233"/>
    <w:multiLevelType w:val="hybridMultilevel"/>
    <w:lvl w:ilvl="0">
      <w:lvlJc w:val="left"/>
      <w:lvlText w:val="%1."/>
      <w:numFmt w:val="decimal"/>
      <w:start w:val="16"/>
    </w:lvl>
    <w:lvl w:ilvl="1">
      <w:lvlJc w:val="left"/>
      <w:lvlText w:val="%2)"/>
      <w:numFmt w:val="lowerLetter"/>
      <w:start w:val="1"/>
    </w:lvl>
  </w:abstractNum>
  <w:abstractNum w:abstractNumId="127">
    <w:nsid w:val="7AB49DAF"/>
    <w:multiLevelType w:val="hybridMultilevel"/>
    <w:lvl w:ilvl="0">
      <w:lvlJc w:val="left"/>
      <w:lvlText w:val="%1."/>
      <w:numFmt w:val="decimal"/>
      <w:start w:val="17"/>
    </w:lvl>
    <w:lvl w:ilvl="1">
      <w:lvlJc w:val="left"/>
      <w:lvlText w:val="%2)"/>
      <w:numFmt w:val="lowerLetter"/>
      <w:start w:val="1"/>
    </w:lvl>
  </w:abstractNum>
  <w:abstractNum w:abstractNumId="128">
    <w:nsid w:val="759F82CD"/>
    <w:multiLevelType w:val="hybridMultilevel"/>
    <w:lvl w:ilvl="0">
      <w:lvlJc w:val="left"/>
      <w:lvlText w:val="%1"/>
      <w:numFmt w:val="decimal"/>
      <w:start w:val="1"/>
    </w:lvl>
    <w:lvl w:ilvl="1">
      <w:lvlJc w:val="left"/>
      <w:lvlText w:val="%2)"/>
      <w:numFmt w:val="lowerLetter"/>
      <w:start w:val="3"/>
    </w:lvl>
  </w:abstractNum>
  <w:abstractNum w:abstractNumId="129">
    <w:nsid w:val="61E74EA3"/>
    <w:multiLevelType w:val="hybridMultilevel"/>
    <w:lvl w:ilvl="0">
      <w:lvlJc w:val="left"/>
      <w:lvlText w:val="%1."/>
      <w:numFmt w:val="decimal"/>
      <w:start w:val="18"/>
    </w:lvl>
    <w:lvl w:ilvl="1">
      <w:lvlJc w:val="left"/>
      <w:lvlText w:val="%2)"/>
      <w:numFmt w:val="lowerLetter"/>
      <w:start w:val="1"/>
    </w:lvl>
  </w:abstractNum>
  <w:abstractNum w:abstractNumId="130">
    <w:nsid w:val="597B4D84"/>
    <w:multiLevelType w:val="hybridMultilevel"/>
    <w:lvl w:ilvl="0">
      <w:lvlJc w:val="left"/>
      <w:lvlText w:val="%1"/>
      <w:numFmt w:val="decimal"/>
      <w:start w:val="1"/>
    </w:lvl>
    <w:lvl w:ilvl="1">
      <w:lvlJc w:val="left"/>
      <w:lvlText w:val="%2)"/>
      <w:numFmt w:val="lowerLetter"/>
      <w:start w:val="5"/>
    </w:lvl>
  </w:abstractNum>
  <w:abstractNum w:abstractNumId="131">
    <w:nsid w:val="F819E7F"/>
    <w:multiLevelType w:val="hybridMultilevel"/>
    <w:lvl w:ilvl="0">
      <w:lvlJc w:val="left"/>
      <w:lvlText w:val="%1."/>
      <w:numFmt w:val="decimal"/>
      <w:start w:val="19"/>
    </w:lvl>
    <w:lvl w:ilvl="1">
      <w:lvlJc w:val="left"/>
      <w:lvlText w:val="%2)"/>
      <w:numFmt w:val="lowerLetter"/>
      <w:start w:val="1"/>
    </w:lvl>
  </w:abstractNum>
  <w:abstractNum w:abstractNumId="132">
    <w:nsid w:val="57C7D42D"/>
    <w:multiLevelType w:val="hybridMultilevel"/>
    <w:lvl w:ilvl="0">
      <w:lvlJc w:val="left"/>
      <w:lvlText w:val="%1."/>
      <w:numFmt w:val="decimal"/>
      <w:start w:val="1"/>
    </w:lvl>
  </w:abstractNum>
  <w:abstractNum w:abstractNumId="133">
    <w:nsid w:val="312167AD"/>
    <w:multiLevelType w:val="hybridMultilevel"/>
    <w:lvl w:ilvl="0">
      <w:lvlJc w:val="left"/>
      <w:lvlText w:val="%1."/>
      <w:numFmt w:val="decimal"/>
      <w:start w:val="2"/>
    </w:lvl>
  </w:abstractNum>
  <w:abstractNum w:abstractNumId="134">
    <w:nsid w:val="631B64D4"/>
    <w:multiLevelType w:val="hybridMultilevel"/>
    <w:lvl w:ilvl="0">
      <w:lvlJc w:val="left"/>
      <w:lvlText w:val="%1."/>
      <w:numFmt w:val="decimal"/>
      <w:start w:val="3"/>
    </w:lvl>
  </w:abstractNum>
  <w:abstractNum w:abstractNumId="135">
    <w:nsid w:val="78B5E776"/>
    <w:multiLevelType w:val="hybridMultilevel"/>
    <w:lvl w:ilvl="0">
      <w:lvlJc w:val="left"/>
      <w:lvlText w:val="%1."/>
      <w:numFmt w:val="decimal"/>
      <w:start w:val="4"/>
    </w:lvl>
  </w:abstractNum>
  <w:abstractNum w:abstractNumId="136">
    <w:nsid w:val="75486E47"/>
    <w:multiLevelType w:val="hybridMultilevel"/>
    <w:lvl w:ilvl="0">
      <w:lvlJc w:val="left"/>
      <w:lvlText w:val="%1."/>
      <w:numFmt w:val="decimal"/>
      <w:start w:val="5"/>
    </w:lvl>
  </w:abstractNum>
  <w:abstractNum w:abstractNumId="137">
    <w:nsid w:val="6E534CDE"/>
    <w:multiLevelType w:val="hybridMultilevel"/>
    <w:lvl w:ilvl="0">
      <w:lvlJc w:val="left"/>
      <w:lvlText w:val="%1."/>
      <w:numFmt w:val="decimal"/>
      <w:start w:val="6"/>
    </w:lvl>
  </w:abstractNum>
  <w:abstractNum w:abstractNumId="138">
    <w:nsid w:val="1A0DDE32"/>
    <w:multiLevelType w:val="hybridMultilevel"/>
    <w:lvl w:ilvl="0">
      <w:lvlJc w:val="left"/>
      <w:lvlText w:val="%1"/>
      <w:numFmt w:val="decimal"/>
      <w:start w:val="1"/>
    </w:lvl>
    <w:lvl w:ilvl="1">
      <w:lvlJc w:val="left"/>
      <w:lvlText w:val="(%2)"/>
      <w:numFmt w:val="lowerLetter"/>
      <w:start w:val="1"/>
    </w:lvl>
  </w:abstractNum>
  <w:abstractNum w:abstractNumId="139">
    <w:nsid w:val="65968C1C"/>
    <w:multiLevelType w:val="hybridMultilevel"/>
    <w:lvl w:ilvl="0">
      <w:lvlJc w:val="left"/>
      <w:lvlText w:val="%1."/>
      <w:numFmt w:val="decimal"/>
      <w:start w:val="7"/>
    </w:lvl>
    <w:lvl w:ilvl="1">
      <w:lvlJc w:val="left"/>
      <w:lvlText w:val="%2"/>
      <w:numFmt w:val="lowerLetter"/>
      <w:start w:val="1"/>
    </w:lvl>
  </w:abstractNum>
  <w:abstractNum w:abstractNumId="140">
    <w:nsid w:val="46263DEC"/>
    <w:multiLevelType w:val="hybridMultilevel"/>
    <w:lvl w:ilvl="0">
      <w:lvlJc w:val="left"/>
      <w:lvlText w:val="●"/>
      <w:numFmt w:val="bullet"/>
      <w:start w:val="1"/>
    </w:lvl>
  </w:abstractNum>
  <w:abstractNum w:abstractNumId="141">
    <w:nsid w:val="260D8C4A"/>
    <w:multiLevelType w:val="hybridMultilevel"/>
    <w:lvl w:ilvl="0">
      <w:lvlJc w:val="left"/>
      <w:lvlText w:val="%1."/>
      <w:numFmt w:val="decimal"/>
      <w:start w:val="8"/>
    </w:lvl>
  </w:abstractNum>
  <w:abstractNum w:abstractNumId="142">
    <w:nsid w:val="73D4D3C4"/>
    <w:multiLevelType w:val="hybridMultilevel"/>
    <w:lvl w:ilvl="0">
      <w:lvlJc w:val="left"/>
      <w:lvlText w:val="%1."/>
      <w:numFmt w:val="decimal"/>
      <w:start w:val="9"/>
    </w:lvl>
  </w:abstractNum>
  <w:abstractNum w:abstractNumId="143">
    <w:nsid w:val="746F2E30"/>
    <w:multiLevelType w:val="hybridMultilevel"/>
    <w:lvl w:ilvl="0">
      <w:lvlJc w:val="left"/>
      <w:lvlText w:val="%1."/>
      <w:numFmt w:val="decimal"/>
      <w:start w:val="10"/>
    </w:lvl>
  </w:abstractNum>
  <w:abstractNum w:abstractNumId="144">
    <w:nsid w:val="6FDE8AF6"/>
    <w:multiLevelType w:val="hybridMultilevel"/>
    <w:lvl w:ilvl="0">
      <w:lvlJc w:val="left"/>
      <w:lvlText w:val="%1."/>
      <w:numFmt w:val="decimal"/>
      <w:start w:val="11"/>
    </w:lvl>
  </w:abstractNum>
  <w:abstractNum w:abstractNumId="145">
    <w:nsid w:val="3FC32E20"/>
    <w:multiLevelType w:val="hybridMultilevel"/>
    <w:lvl w:ilvl="0">
      <w:lvlJc w:val="left"/>
      <w:lvlText w:val="%1."/>
      <w:numFmt w:val="decimal"/>
      <w:start w:val="12"/>
    </w:lvl>
  </w:abstractNum>
  <w:abstractNum w:abstractNumId="146">
    <w:nsid w:val="49C0E823"/>
    <w:multiLevelType w:val="hybridMultilevel"/>
    <w:lvl w:ilvl="0">
      <w:lvlJc w:val="left"/>
      <w:lvlText w:val="%1."/>
      <w:numFmt w:val="decimal"/>
      <w:start w:val="13"/>
    </w:lvl>
  </w:abstractNum>
  <w:abstractNum w:abstractNumId="147">
    <w:nsid w:val="14D53685"/>
    <w:multiLevelType w:val="hybridMultilevel"/>
    <w:lvl w:ilvl="0">
      <w:lvlJc w:val="left"/>
      <w:lvlText w:val="%1"/>
      <w:numFmt w:val="decimal"/>
      <w:start w:val="1"/>
    </w:lvl>
    <w:lvl w:ilvl="1">
      <w:lvlJc w:val="left"/>
      <w:lvlText w:val="(%2)"/>
      <w:numFmt w:val="lowerLetter"/>
      <w:start w:val="1"/>
    </w:lvl>
  </w:abstractNum>
  <w:abstractNum w:abstractNumId="148">
    <w:nsid w:val="230F856C"/>
    <w:multiLevelType w:val="hybridMultilevel"/>
    <w:lvl w:ilvl="0">
      <w:lvlJc w:val="left"/>
      <w:lvlText w:val="%1."/>
      <w:numFmt w:val="decimal"/>
      <w:start w:val="14"/>
    </w:lvl>
    <w:lvl w:ilvl="1">
      <w:lvlJc w:val="left"/>
      <w:lvlText w:val="%2"/>
      <w:numFmt w:val="lowerLetter"/>
      <w:start w:val="1"/>
    </w:lvl>
  </w:abstractNum>
  <w:abstractNum w:abstractNumId="149">
    <w:nsid w:val="6EAA85FB"/>
    <w:multiLevelType w:val="hybridMultilevel"/>
    <w:lvl w:ilvl="0">
      <w:lvlJc w:val="left"/>
      <w:lvlText w:val="%1."/>
      <w:numFmt w:val="decimal"/>
      <w:start w:val="16"/>
    </w:lvl>
  </w:abstractNum>
  <w:abstractNum w:abstractNumId="150">
    <w:nsid w:val="3F06ECB2"/>
    <w:multiLevelType w:val="hybridMultilevel"/>
    <w:lvl w:ilvl="0">
      <w:lvlJc w:val="left"/>
      <w:lvlText w:val="%1."/>
      <w:numFmt w:val="decimal"/>
      <w:start w:val="17"/>
    </w:lvl>
  </w:abstractNum>
  <w:abstractNum w:abstractNumId="151">
    <w:nsid w:val="3B594807"/>
    <w:multiLevelType w:val="hybridMultilevel"/>
    <w:lvl w:ilvl="0">
      <w:lvlJc w:val="left"/>
      <w:lvlText w:val="%1."/>
      <w:numFmt w:val="decimal"/>
      <w:start w:val="18"/>
    </w:lvl>
  </w:abstractNum>
  <w:abstractNum w:abstractNumId="152">
    <w:nsid w:val="6CAA2304"/>
    <w:multiLevelType w:val="hybridMultilevel"/>
    <w:lvl w:ilvl="0">
      <w:lvlJc w:val="left"/>
      <w:lvlText w:val="%1."/>
      <w:numFmt w:val="decimal"/>
      <w:start w:val="19"/>
    </w:lvl>
  </w:abstractNum>
  <w:abstractNum w:abstractNumId="153">
    <w:nsid w:val="3F7C2FF4"/>
    <w:multiLevelType w:val="hybridMultilevel"/>
    <w:lvl w:ilvl="0">
      <w:lvlJc w:val="left"/>
      <w:lvlText w:val="%1."/>
      <w:numFmt w:val="decimal"/>
      <w:start w:val="23"/>
    </w:lvl>
  </w:abstractNum>
  <w:abstractNum w:abstractNumId="154">
    <w:nsid w:val="25413BEC"/>
    <w:multiLevelType w:val="hybridMultilevel"/>
    <w:lvl w:ilvl="0">
      <w:lvlJc w:val="left"/>
      <w:lvlText w:val="%1."/>
      <w:numFmt w:val="decimal"/>
      <w:start w:val="1"/>
    </w:lvl>
    <w:lvl w:ilvl="1">
      <w:lvlJc w:val="left"/>
      <w:lvlText w:val="%2)"/>
      <w:numFmt w:val="lowerLetter"/>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lowerLetter"/>
      <w:start w:val="3"/>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jpe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178" Type="http://schemas.openxmlformats.org/officeDocument/2006/relationships/hyperlink" Target="http://www.sec.gov/Archives/edgar/data/1795251/000114036120018404/nt10006151x9_ex3-2.htm" TargetMode="External"/><Relationship Id="rId179" Type="http://schemas.openxmlformats.org/officeDocument/2006/relationships/hyperlink" Target="http://www.sec.gov/Archives/edgar/data/1795251/000121390022022912/f20f2021ex4-1_nanox.htm" TargetMode="External"/><Relationship Id="rId180" Type="http://schemas.openxmlformats.org/officeDocument/2006/relationships/hyperlink" Target="http://www.sec.gov/Archives/edgar/data/1795251/000121390022022912/f20f2021ex4-2_nanox.htm" TargetMode="External"/><Relationship Id="rId181" Type="http://schemas.openxmlformats.org/officeDocument/2006/relationships/hyperlink" Target="http://www.sec.gov/Archives/edgar/data/1795251/000121390022022912/f20f2021ex4-3_nanox.htm" TargetMode="External"/><Relationship Id="rId182" Type="http://schemas.openxmlformats.org/officeDocument/2006/relationships/hyperlink" Target="http://www.sec.gov/Archives/edgar/data/1795251/000121390022022912/f20f2021ex4-4_nanox.htm" TargetMode="External"/><Relationship Id="rId183" Type="http://schemas.openxmlformats.org/officeDocument/2006/relationships/hyperlink" Target="http://www.sec.gov/Archives/edgar/data/1795251/000114036120017084/nt10006151x8_ex4-5.htm" TargetMode="External"/><Relationship Id="rId184" Type="http://schemas.openxmlformats.org/officeDocument/2006/relationships/hyperlink" Target="http://www.sec.gov/Archives/edgar/data/1795251/000114036120017084/nt10006151x8_ex4-6.htm" TargetMode="External"/><Relationship Id="rId185" Type="http://schemas.openxmlformats.org/officeDocument/2006/relationships/hyperlink" Target="http://www.sec.gov/Archives/edgar/data/1795251/000114036120017084/nt10006151x8_ex4-7.htm" TargetMode="External"/><Relationship Id="rId186" Type="http://schemas.openxmlformats.org/officeDocument/2006/relationships/hyperlink" Target="http://www.sec.gov/Archives/edgar/data/1795251/000121390023060074/ea182344ex4-3_nanoximaging.htm" TargetMode="External"/><Relationship Id="rId187" Type="http://schemas.openxmlformats.org/officeDocument/2006/relationships/hyperlink" Target="http://www.sec.gov/Archives/edgar/data/1795251/000114036120017084/nt10006151x8_ex10-1.htm" TargetMode="External"/><Relationship Id="rId188" Type="http://schemas.openxmlformats.org/officeDocument/2006/relationships/hyperlink" Target="http://www.sec.gov/Archives/edgar/data/1795251/000114036120017084/nt10006151x8_ex10-3.htm" TargetMode="External"/><Relationship Id="rId189" Type="http://schemas.openxmlformats.org/officeDocument/2006/relationships/hyperlink" Target="http://www.sec.gov/Archives/edgar/data/1795251/000114036120017084/nt10006151x8_ex10-4.htm" TargetMode="External"/><Relationship Id="rId190" Type="http://schemas.openxmlformats.org/officeDocument/2006/relationships/hyperlink" Target="http://www.sec.gov/Archives/edgar/data/1795251/000114036120018404/nt10006151x9_ex10-5.htm" TargetMode="External"/><Relationship Id="rId191" Type="http://schemas.openxmlformats.org/officeDocument/2006/relationships/hyperlink" Target="http://www.sec.gov/Archives/edgar/data/1795251/000121390025030318/ea023344401ex4-13_nano.htm" TargetMode="External"/><Relationship Id="rId192" Type="http://schemas.openxmlformats.org/officeDocument/2006/relationships/hyperlink" Target="http://www.sec.gov/Archives/edgar/data/1795251/000121390023034133/f20f2022ex4-14_nanox.htm" TargetMode="External"/><Relationship Id="rId193" Type="http://schemas.openxmlformats.org/officeDocument/2006/relationships/hyperlink" Target="http://www.sec.gov/Archives/edgar/data/1795251/000121390023034133/f20f2022ex4-15_nanox.htm" TargetMode="External"/><Relationship Id="rId194" Type="http://schemas.openxmlformats.org/officeDocument/2006/relationships/hyperlink" Target="http://www.sec.gov/Archives/edgar/data/1795251/000121390024050870/ea020750401ex10-1_nanox.htm" TargetMode="External"/><Relationship Id="rId195" Type="http://schemas.openxmlformats.org/officeDocument/2006/relationships/hyperlink" Target="http://www.sec.gov/Archives/edgar/data/1795251/000121390026027766/ea028099301ex2-6.htm" TargetMode="External"/><Relationship Id="rId196" Type="http://schemas.openxmlformats.org/officeDocument/2006/relationships/hyperlink" Target="http://www.sec.gov/Archives/edgar/data/1795251/000121390025030318/ea023344401ex11-1_nano.htm" TargetMode="External"/><Relationship Id="rId197" Type="http://schemas.openxmlformats.org/officeDocument/2006/relationships/hyperlink" Target="http://www.sec.gov/Archives/edgar/data/1795251/000121390024034697/f20f2023ex97-1_nanoximag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2026-04-30T15:26:14Z</dcterms:created>
  <dcterms:modified xsi:type="dcterms:W3CDTF">2026-04-30T15:26:14Z</dcterms:modified>
</cp:coreProperties>
</file>