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month of November 2021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001-39461</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NANO-X IMAGING LTD</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Communications Center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Neve Ilan, Israel 9085000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75" w:lineRule="auto"/>
        <w:rPr>
          <w:sz w:val="20"/>
          <w:szCs w:val="20"/>
          <w:color w:val="auto"/>
        </w:rPr>
      </w:pPr>
      <w:r>
        <w:rPr>
          <w:rFonts w:ascii="Arial" w:cs="Arial" w:eastAsia="Arial" w:hAnsi="Arial"/>
          <w:sz w:val="17"/>
          <w:szCs w:val="17"/>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592455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jc w:val="both"/>
        <w:ind w:right="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On November 17, 2021, NANO-X IMAGING LTD (the “Company”) issued a press release, copy of which is attached hereto as </w:t>
      </w:r>
      <w:hyperlink w:anchor="page5">
        <w:r>
          <w:rPr>
            <w:rFonts w:ascii="Arial" w:cs="Arial" w:eastAsia="Arial" w:hAnsi="Arial"/>
            <w:sz w:val="18"/>
            <w:szCs w:val="18"/>
            <w:u w:val="single" w:color="auto"/>
            <w:color w:val="0000EE"/>
          </w:rPr>
          <w:t>Exhibit 99.1</w:t>
        </w:r>
      </w:hyperlink>
      <w:r>
        <w:rPr>
          <w:rFonts w:ascii="Arial" w:cs="Arial" w:eastAsia="Arial" w:hAnsi="Arial"/>
          <w:sz w:val="18"/>
          <w:szCs w:val="18"/>
          <w:color w:val="auto"/>
        </w:rPr>
        <w:t>, and incorporated herein by reference.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contained in this report, except the third paragraph of Exhibit 99.1, which contain certain quotes by the Chairman and Chief Executive Officer of the Company, are hereby incorporated by reference into the Registration Statement on Form S-8, File No. 333-248322.</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press release the Company uses certain financial measures that are not prepared in accordance with generally accepted accounting principles in the United States (“GAAP”). The non-GAAP financial measures that appear in the press release exclude legal and other related expenses in relation to the following legal matters: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previously disclosed, in September 2020, two securities class action complaints were filed in the United States District Court for the Eastern District of New York against the Company and certain current officers and a director, which were subsequently consolidated and captioned as </w:t>
      </w:r>
      <w:r>
        <w:rPr>
          <w:rFonts w:ascii="Arial" w:cs="Arial" w:eastAsia="Arial" w:hAnsi="Arial"/>
          <w:sz w:val="18"/>
          <w:szCs w:val="18"/>
          <w:i w:val="1"/>
          <w:iCs w:val="1"/>
          <w:color w:val="auto"/>
        </w:rPr>
        <w:t>White v. Nano-X</w:t>
      </w:r>
      <w:r>
        <w:rPr>
          <w:rFonts w:ascii="Arial" w:cs="Arial" w:eastAsia="Arial" w:hAnsi="Arial"/>
          <w:sz w:val="18"/>
          <w:szCs w:val="18"/>
          <w:color w:val="auto"/>
        </w:rPr>
        <w:t xml:space="preserve"> </w:t>
      </w:r>
      <w:r>
        <w:rPr>
          <w:rFonts w:ascii="Arial" w:cs="Arial" w:eastAsia="Arial" w:hAnsi="Arial"/>
          <w:sz w:val="18"/>
          <w:szCs w:val="18"/>
          <w:i w:val="1"/>
          <w:iCs w:val="1"/>
          <w:color w:val="auto"/>
        </w:rPr>
        <w:t>Imaging Ltd. et al</w:t>
      </w:r>
      <w:r>
        <w:rPr>
          <w:rFonts w:ascii="Arial" w:cs="Arial" w:eastAsia="Arial" w:hAnsi="Arial"/>
          <w:sz w:val="18"/>
          <w:szCs w:val="18"/>
          <w:color w:val="auto"/>
        </w:rPr>
        <w:t>, Case No. 1:20-cv-04355, alleging violations of securities laws on behalf of all persons and entities that purchased or otherwise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publicly traded securities between August 21, 2020 and September 15, 2020, and seeking unspecified damages. On December 7, 2020, proposed lead plaintiffs submissions were fully briefed and remain outstanding. As of September 30, 2021, the Company has not accrued any losses other than legal fees with connection to the above referenced complaints. The Company’s position is that the complaint has no merit and it will defend its position vigorously.</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5, 2021, a class action complaint was filed in the United States District Court for the Eastern District of New York against the Company and certain of its officers, captioned McLaughlin v. Nano-X Imaging Ltd. et al, Case No. 1:21-cv-05517. The plaintiff asserts claims on behalf of persons and entities that purchased or otherwise acquired the Company’s securities between June 17, 2021 and August 18, 2021, seeking unspecified damages. The plaintiff alleges that the defendants made materially false and misleading statements concerning the Company’s business, operations and compliance policies beginning on June 17, 2021, based on the Company’s U.S. Food and Drug Administration submissions. As of September 31, 2021, the Company has not accrued any losses other than legal fees with connection to the above referenced complaint. The Company’s position that the complaint has no merit and will defend its position vigorously.</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28, 2021 a complaint was filed in the United States District Court for the Central District of California against the Company, the Company’s recently-formed Delaware subsidiary and Nanox Gibraltar PLC (“Gibraltar”) from which the Company received certain assets, as well as Mr. Ran Poliakine and certain other unidentified parties, alleging several causes of action including breach of a consulting agreement between plaintiff and Gibraltar that was entered into in 2014. The plaintiff’s demand is for a payment of unpaid consulting fees from Gibraltar in the amount of approximately $1 million and approximately $29.5 million from the Company relating to his claimed entitlement to warrants in Gibraltar. The Company’s position is that the complaint against the Company has no merit, among other reasons, as it was not a party to the agreement with the plaintiff and it is not Gibraltar’s legal successor for any liabilities that Gibraltar may owe to the plaintiff, and it intends to defend its position vigorously.</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Division of Enforcement of the U.S. Securities &amp; Exchange Commission (the “SEC”) has notified the Company that it is conducting an investigation to determine whether there had been any violations of the federal securities laws. The Company has been providing documents and information and has now received a subpoena from the SEC requesting that the Company provide documents and other information relating to the development cost of the Company’s Nanox.ARC prototypes, as well as the Company’s estimate for the cost of assembling the final Nanox.ARC product at scale. The Company is cooperating with the SEC in responding to its requests. The duration and outcome of this matter cannot be predicated at this time.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on other components that were excluded in preparation of the non-GAAP financial measures, please refer to the press release.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7"/>
          <w:szCs w:val="17"/>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11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dated November 17,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NANO-X IMAGING LTD</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Ran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Ran Daniel</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CFO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17,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165735</wp:posOffset>
            </wp:positionV>
            <wp:extent cx="831850" cy="762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3185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Nanox Announces Third Quarter 2021 Financial Results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Provides Business Update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Reports progress towards global supply chain development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Ended the third quarter with cash and marketable securities of $180.3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Management to host conference call and webcast today, November 17, at 8:30 AM ET</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NEVE ILAN, Israel—November 17, 2021 -- NANO-X IMAGING LTD (NASDAQ: NNOX) (“</w:t>
      </w:r>
      <w:r>
        <w:rPr>
          <w:rFonts w:ascii="Arial" w:cs="Arial" w:eastAsia="Arial" w:hAnsi="Arial"/>
          <w:sz w:val="18"/>
          <w:szCs w:val="18"/>
          <w:b w:val="1"/>
          <w:bCs w:val="1"/>
          <w:color w:val="auto"/>
        </w:rPr>
        <w:t>Nanox</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an innovative medical imaging technology company, today announced results for the third quarter ended September 30, 2021 and provided a business update.</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previously reported, Nanox completed the merger with NANO-X AI LTD (formerly Zebra Medical Vision LTD, “Nanox AI”), a deep-learning medical imaging analytics company, in an all-stock deal valued at approximately $110 million at closing, with up to $84 million in contingent consideration to be paid in additional stock if Nanox AI enters into any of two designated commercial agreements and achieve certain milestones. Additionally, the Company completed the acquisition of USARAD Holdings, Inc., a leading provider of teleradiology services, and the assets of MDWEB, LLC., a decentralized marketplace connecting imaging facilities with radiologists, together, for approximately $7.3 million in cash and $12.9 million in stock, with up to $2.0 million in cash and up to $8.0 million in stock in deferred consideration upon the completion of various milestones.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third quarter was pivotal for Nanox, as we made meaningful progress toward the commercialization of the Nanox System across multiple fronts. Among our recent accomplishments, we continued to secure our supply chain, enlarged our backlog of orders by signing additional MSaaS agreements, and, importantly, finalized three previously announced strategic M&amp;A transactions,” said Ran Poliakine, Chairman of the Board and Chief Executive Officer of Nanox. “We look forward to continuing our progress toward our goal of bringing the groundbreaking technology to market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3362960</wp:posOffset>
            </wp:positionH>
            <wp:positionV relativeFrom="page">
              <wp:posOffset>586105</wp:posOffset>
            </wp:positionV>
            <wp:extent cx="831850" cy="763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83185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Highlights and Recent Developments:</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Completed merger with Nanox AI and acquisitions of USARAD Holdings, Inc. and MDWEB, LLC.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Entered into MSaaS agreement with International Clinics Group, a medical equipment distributor which serves public &amp; private hospitals, health systems, military hospitals, and medical centers in Chile, Bolivia and Peru, for the deployment of 350 Nanox.ARC units. As of today, the Company has entered into MSaaS agreements for deployment of 6,500 Nanox.ARC units.</w:t>
      </w:r>
    </w:p>
    <w:p>
      <w:pPr>
        <w:spacing w:after="0" w:line="183"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Nanox AI secured its 8th FDA 510(k) clearance for its Coronary Artery Calcium (“CAC”) solution as part of its population health offering. CAC is an important biomarker in determining the risk of coronary disease. The CAC solution is expected to empower clinicians to report findings and recommend preventative treatments before a coronary event occurs, which has the potential to save lives while lowering costs for the healthcare systems. Nanox AI’s mission is helping to diagnose populations at scale with its AI-based solutions, enabling IDNs and commercial payers to detect and treat patients at risk for chronic conditions while accurately adjusting their covered population risk.</w:t>
      </w:r>
    </w:p>
    <w:p>
      <w:pPr>
        <w:spacing w:after="0" w:line="17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made a progress to commence commercial production of the silicon MEMs chip that is integral to the Nanox digital X-ray source by the Company’s Korean subsidiary. We expect production at the new facility to begin pilot production in 2022.</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Clinical and Regulatory update: The Company made progress toward the completion of the development of the Nanox.ARC. The Company expect to continue to optimize and develop further features of the Nanox.ARC and is considering submitting an additional 510(k) application for the next version of its multi-source Nanox.ARC in the near term, which will benefit from the FDA feedback received on the first version of the multi-source Nanox.ARC.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3362960</wp:posOffset>
            </wp:positionH>
            <wp:positionV relativeFrom="page">
              <wp:posOffset>586105</wp:posOffset>
            </wp:positionV>
            <wp:extent cx="831850" cy="763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83185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three months ended September 30, 2021</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September 30, 2021, the Company reported a net loss of $13.5 million, compared to a net loss of $11.1 million for the three-month period ended September 30, 2020, largely due to an increase in our research and development expenses and general and administrative expenses, which were partially offset by a decrease in our marketing expenses.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for the third quarter 2021 were $3.7 million, as compared to $2.1 million for the same period in 2020. The increase was due to Research and Development costs related to the multi-source Nanox.ARC and cloud, including increased R&amp;D headcount, costs related to the ongoing regulatory approval process and share-based compensation.</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Marketing expenses for the third quarter 2021 were $1.5 million, as compared to $2.7 million for the same period in 2020. The decrease was mainly due to decrease of $1.7 million in share-based compensation which was partially offset by an increase of $0.5 million in marketing and branding expenses.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for the third quarter 2021 were $8.2 million, as compared to $6.3 million for the same period in 2020. The increase of $1.9 million was mainly due to an increase in our labor cost of approximately $0.5 million primarily as a result of an increase in our head count in connection with the expansion of the Company’s management team and the overall organization infrastructure, increase in our D&amp;O insurance expenses of approximately $0.5, increase on in our legal fees in the amount of approximately $0.6 million due to the SEC inquiry and class-action litigation as described in our Form 6-K filed on November 17, 2021 and transaction expenses with connection to the acquisitions of Nanox AI, USARAD Holdings, Inc. and the assets of MDWEB, LLC in the amount of approximately $0.5 million.</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in operating activities during the three months ended September 30, 2021 was $7.0 million. The Company ended the third quarter 2021 with cash, cash equivalents and marketable securities of $180.3 million.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Non-GAAP net loss for the three months ended September 30, 2021 was $8.5 million, as compared to $5.1 million for the same period in 2020 primarily due to an increase in our research and development expenses, general and administrative expenses and our marketing expenses. Non-GAAP research and development expenses for the three months ended September 30, 2021 were $3.0 million, as compared to $1.5 million for the same period in 2020. Non-GAAP Marketing expenses for the three months ended September 30, 2021 were $1.0 million, as compared to $0.5 million for the same period in 2020. Non-GAAP General and administrative expenses for the three months ended September 30, 2021 were $4.5 million, as compared to $3.1 million for the same period in 2020.</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3362960</wp:posOffset>
            </wp:positionH>
            <wp:positionV relativeFrom="page">
              <wp:posOffset>586105</wp:posOffset>
            </wp:positionV>
            <wp:extent cx="831850" cy="763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83185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reconciliation between GAAP and non-GAAP financial measures for the three-month and nine-month periods ended September 30, 2021 and 2020 is provided in the financial results that are part of this press release. The difference between the GAAP and non-GAAP financial measures above is mainly attributable to share-based compensation, secondary offering expenses and legal fees in connection with class-action litigation and the SEC inquiry.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 Company had approximately 47.9 million shares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Wednesday, November 17, 2021 @ 8:30am 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US/Canada toll-free dial-in: (877) 550-3765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US/Canada International dial-in: (409) 937-8962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7872065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Webcast link: Nanox Q3 2021 Earnings Call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Nanox:</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Nanox, founded by the serial entrepreneur Ran Poliakine, is an Israeli corporation developing a commercial-grade digital X-ray source designed to be used in real-world medical imaging applications. Nanox believes that its novel technology could significantly reduce the costs of medical imaging systems and plans to seek collaborations with world-leading healthcare organizations and companies to provide affordable, early detection imaging service for all. For more information, please visit www.nanox.vision.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3362960</wp:posOffset>
            </wp:positionH>
            <wp:positionV relativeFrom="page">
              <wp:posOffset>586105</wp:posOffset>
            </wp:positionV>
            <wp:extent cx="831850" cy="763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83185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may contain forward-looking statements that are subject to risks and uncertainties. All statements that are not historical facts contained in this press release are forward-looking statements. Such statements include, but are not limited to, any statements relating to the initiation, timing, progress and results of the Company’s research and development, manufacturing and commercialization activities with respect to its X-ray source technology and the Nanox.Arc, the ability to realize the expected benefits of the acquisitions and the projected business prospects of the Company and the acquired companies. In some cases, you can identify forward-looking statements by terminology such as “can,” “might,” “believe,” “may,” “estimate,” “continue,” “anticipate,” “intend,” “should,” “plan,” “should,” “could,” “expect,” “predict,” “potential,” or the negative of these terms or other similar expressions. Forward-looking statements are based on information the Company has when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Factors that could cause actual results to differ materially from those currently anticipated include: risks related to (1) the inability to successfully integrate the acquired companies, (2) the inability to realize the anticipated benefits of the acquisitions, which may be affected by, among other things, competition, brand recognition, the ability of the acquired companies to grow and manage growth profitably and retain their key employees, (3) costs related to the acquisitions and/or unknown or inestimable liabilities, (4) changes in applicable laws or regulations that impact the operations of the acquired companies, (5) the failure to meet projected technology development targets, (6) the failure of the acquired companies to effectively scale end-to-end medical imaging solutions worldwide, (7) changes in global, political, economic, business, competitive, market and regulatory forces, and (8) (i) Nanox’s ability to complete development of the Nanox.Arc; (ii) Nanox’s ability to successfully demonstrate the feasibility of its technology for commercial applications; (iii) Nanox’s expectations regarding the necessity of, timing of filing for, and receipt and maintenance of, regulatory clearances or approvals regarding its X-ray source technology and the Nanox.Arc from regulatory agencies worldwide and its ongoing compliance with applicable quality standards and regulatory requirements; (iv) Nanox’s ability to enter into and maintain commercially reasonable arrangements with third-party manufacturers and suppliers to manufacture the Nanox.Arc; (v) the market acceptance of the Nanox.Arc and the proposed pay-per-scan business model; (vi) Nanox’s expectations regarding collaborations with third-parties and their potential benefits; and (vii) Nanox’s ability to conduct business globally, among other things.</w:t>
      </w:r>
    </w:p>
    <w:p>
      <w:pPr>
        <w:spacing w:after="0" w:line="3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discussion of other risks and uncertainties, and other important factors, any of which could cause Nanox’s actual results to differ from those contained in the Forward-Looking Statements, see the section titled “Risk Factors” in Nanox’s Annual Report on Form 20-F for the year ended December 31, 2020, and subsequent filings with the U.S. Securities and Exchange Commission. The reader should not place undue reliance on any forward-looking statements included in this press release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Except as required by law, Nanox undertakes no obligation to update publicly any forward-looking statements after the date of this report to conform these statements to actual results or to changes in the Company’s expectations.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3362960</wp:posOffset>
            </wp:positionH>
            <wp:positionV relativeFrom="page">
              <wp:posOffset>586105</wp:posOffset>
            </wp:positionV>
            <wp:extent cx="831850" cy="763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83185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press release includes information about certain financial measures that are not prepared in accordance with generally accepted accounting principles in the United States (“GAAP”), including non-GAAP net loss attributable to ordinary shares, non-GAAP research and development expenses, non-GAAP marketing expenses and non-GAAP general and administrative expenses. These non-GAAP measures are not based on any standardized methodology prescribed by GAAP and are not necessarily comparable to similar measures presented by other companies.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Non-GAAP net loss attributable to ordinary shares, non-GAAP research and development expenses, non-GAAP marketing expenses and non-GAAP general and administrative expenses each adjusts for stock-based compensation expenses.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management and board of directors utilize these non-GAAP financial measures to evaluate the Company’s performance. The Company provides these non-GAAP measures of the Company’s performance to investors because management believes that these non-GAAP financial measures, when viewed with the Company’s results under GAAP and the accompanying reconciliations, are useful in identifying underlying trends in ongoing operations. However, non-GAAP net loss attributable to ordinary shares, non-GAAP research and development expenses, non-GAAP marketing expenses and non-GAAP general and administrative expenses are not measures of financial performance under GAAP and, accordingly, should not be considered as alternatives to GAAP measures as indicators of operating performance. Further, non-GAAP net loss attributable to ordinary shares, non-GAAP research and development expenses, non-GAAP marketing expenses and non-GAAP general and administrative expenses should not be considered measures of the Company’s liquidity.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certain GAAP to non-GAAP financial measures has been provided in the tables included in this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Tamar Aharon Cohen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Nanox Imaging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IR@nanox.vision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Mike Cavanaugh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 Westwicke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mike.cavanaugh@westwicke.com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3362960</wp:posOffset>
            </wp:positionH>
            <wp:positionV relativeFrom="page">
              <wp:posOffset>586105</wp:posOffset>
            </wp:positionV>
            <wp:extent cx="831850" cy="763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83185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NANO-X IMAGING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ind w:left="4040"/>
              <w:spacing w:after="0"/>
              <w:rPr>
                <w:sz w:val="20"/>
                <w:szCs w:val="20"/>
                <w:color w:val="auto"/>
              </w:rPr>
            </w:pPr>
            <w:r>
              <w:rPr>
                <w:rFonts w:ascii="Arial" w:cs="Arial" w:eastAsia="Arial" w:hAnsi="Arial"/>
                <w:sz w:val="18"/>
                <w:szCs w:val="18"/>
                <w:b w:val="1"/>
                <w:bCs w:val="1"/>
                <w:color w:val="auto"/>
              </w:rPr>
              <w:t>Assets</w:t>
            </w:r>
          </w:p>
        </w:tc>
        <w:tc>
          <w:tcPr>
            <w:tcW w:w="246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99"/>
              </w:rPr>
              <w:t>U.S. Dollars 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6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77,557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213,468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Marketable Securities - short term</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32,972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111,683</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219,793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30,762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14,020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Marketable Securities - long term</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69,768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NON-CURRENT ASSETS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106,394</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16,356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218,077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236,149</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880"/>
              <w:spacing w:after="0"/>
              <w:rPr>
                <w:sz w:val="20"/>
                <w:szCs w:val="20"/>
                <w:color w:val="auto"/>
              </w:rPr>
            </w:pPr>
            <w:r>
              <w:rPr>
                <w:rFonts w:ascii="Arial" w:cs="Arial" w:eastAsia="Arial" w:hAnsi="Arial"/>
                <w:sz w:val="18"/>
                <w:szCs w:val="18"/>
                <w:b w:val="1"/>
                <w:bCs w:val="1"/>
                <w:color w:val="auto"/>
              </w:rPr>
              <w:t>Liabilities and Shareholders’ Equity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4,294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3,526</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maturities of operating leases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6,219</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4,480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operating leases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Long term loan from Bank</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2,954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 term liabilities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NON-CURRENT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3,708</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9,927</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COMMITMENTS AND CONTINGENCIES</w:t>
            </w: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Ordinary Shares, par value NIS 0.01 per share,100,000,000 authorized at September 30, 2021 and December 31</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2020, 47,877,719 and 46,100,173 issued and outstanding at September 30, 2021 and December 31, 2020,</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332,383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315,031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deficit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(124,179)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(84,416)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208,150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218,077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236,149</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5580"/>
              <w:spacing w:after="0"/>
              <w:rPr>
                <w:sz w:val="20"/>
                <w:szCs w:val="20"/>
                <w:color w:val="auto"/>
              </w:rPr>
            </w:pPr>
            <w:r>
              <w:rPr>
                <w:rFonts w:ascii="Arial" w:cs="Arial" w:eastAsia="Arial" w:hAnsi="Arial"/>
                <w:sz w:val="18"/>
                <w:szCs w:val="18"/>
                <w:color w:val="auto"/>
              </w:rPr>
              <w:t>7</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3362960</wp:posOffset>
            </wp:positionH>
            <wp:positionV relativeFrom="page">
              <wp:posOffset>586105</wp:posOffset>
            </wp:positionV>
            <wp:extent cx="831850" cy="763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83185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NANO-X IMAGING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CONDENSED CONSOLIDATED STATEMENTS OF OPERATIONS</w:t>
      </w:r>
    </w:p>
    <w:p>
      <w:pPr>
        <w:spacing w:after="0" w:line="218" w:lineRule="exact"/>
        <w:rPr>
          <w:sz w:val="20"/>
          <w:szCs w:val="20"/>
          <w:color w:val="auto"/>
        </w:rPr>
      </w:pPr>
    </w:p>
    <w:tbl>
      <w:tblPr>
        <w:tblLayout w:type="fixed"/>
        <w:tblInd w:w="5980" w:type="dxa"/>
        <w:tblCellMar>
          <w:top w:w="0" w:type="dxa"/>
          <w:left w:w="0" w:type="dxa"/>
          <w:bottom w:w="0" w:type="dxa"/>
          <w:right w:w="0" w:type="dxa"/>
        </w:tblCellMar>
      </w:tblPr>
      <w:tr>
        <w:trPr>
          <w:trHeight w:val="216"/>
        </w:trPr>
        <w:tc>
          <w:tcPr>
            <w:tcW w:w="2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Nine Months Ended</w:t>
            </w:r>
          </w:p>
        </w:tc>
        <w:tc>
          <w:tcPr>
            <w:tcW w:w="2440" w:type="dxa"/>
            <w:vAlign w:val="bottom"/>
            <w:gridSpan w:val="2"/>
          </w:tcPr>
          <w:p>
            <w:pPr>
              <w:ind w:left="40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2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2440" w:type="dxa"/>
            <w:vAlign w:val="bottom"/>
            <w:gridSpan w:val="2"/>
          </w:tcPr>
          <w:p>
            <w:pPr>
              <w:ind w:left="66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12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22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2021</w:t>
            </w:r>
          </w:p>
        </w:tc>
        <w:tc>
          <w:tcPr>
            <w:tcW w:w="12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-2540</wp:posOffset>
            </wp:positionV>
            <wp:extent cx="327469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b w:val="1"/>
          <w:bCs w:val="1"/>
          <w:color w:val="auto"/>
        </w:rPr>
        <w:t>(U.S. dollars in thousands, except for per share data)</w:t>
      </w:r>
    </w:p>
    <w:p>
      <w:pPr>
        <w:sectPr>
          <w:pgSz w:w="11900" w:h="16838" w:orient="portrait"/>
          <w:cols w:equalWidth="0" w:num="1">
            <w:col w:w="11240"/>
          </w:cols>
          <w:pgMar w:left="320" w:top="1440" w:right="33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Marketing</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General and administrative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EXPENSES (INCOME), NET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LOSS PER SHARE</w:t>
      </w:r>
    </w:p>
    <w:p>
      <w:pPr>
        <w:spacing w:after="0" w:line="27" w:lineRule="exact"/>
        <w:rPr>
          <w:sz w:val="20"/>
          <w:szCs w:val="20"/>
          <w:color w:val="auto"/>
        </w:rPr>
      </w:pPr>
    </w:p>
    <w:p>
      <w:pPr>
        <w:ind w:left="180" w:right="120" w:hanging="161"/>
        <w:spacing w:after="0" w:line="260" w:lineRule="auto"/>
        <w:rPr>
          <w:sz w:val="20"/>
          <w:szCs w:val="20"/>
          <w:color w:val="auto"/>
        </w:rPr>
      </w:pPr>
      <w:r>
        <w:rPr>
          <w:rFonts w:ascii="Arial" w:cs="Arial" w:eastAsia="Arial" w:hAnsi="Arial"/>
          <w:sz w:val="18"/>
          <w:szCs w:val="18"/>
          <w:b w:val="1"/>
          <w:bCs w:val="1"/>
          <w:color w:val="auto"/>
        </w:rPr>
        <w:t>WEIGHTED AVERAGE NUMBER OF ORDINARY SHARES (in thousands)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10,760</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6,258</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3,708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2,106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5,093</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4,409</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1,529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2,664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23,790</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14,195</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8,238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6,292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(39,643)</w:t>
            </w:r>
          </w:p>
        </w:tc>
        <w:tc>
          <w:tcPr>
            <w:tcW w:w="260" w:type="dxa"/>
            <w:vAlign w:val="bottom"/>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(24,862)</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(13,475)</w:t>
            </w: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(11,062)</w:t>
            </w:r>
          </w:p>
        </w:tc>
        <w:tc>
          <w:tcPr>
            <w:tcW w:w="40" w:type="dxa"/>
            <w:vAlign w:val="bottom"/>
            <w:gridSpan w:val="2"/>
          </w:tcPr>
          <w:p>
            <w:pPr>
              <w:spacing w:after="0"/>
              <w:rPr>
                <w:sz w:val="17"/>
                <w:szCs w:val="17"/>
                <w:color w:val="auto"/>
              </w:rPr>
            </w:pPr>
          </w:p>
        </w:tc>
      </w:tr>
      <w:tr>
        <w:trPr>
          <w:trHeight w:val="251"/>
        </w:trPr>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120</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(20)</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(6)</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(39,763</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(24,842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(13,469</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(11,056</w:t>
            </w:r>
          </w:p>
        </w:tc>
        <w:tc>
          <w:tcPr>
            <w:tcW w:w="40" w:type="dxa"/>
            <w:vAlign w:val="bottom"/>
            <w:gridSpan w:val="2"/>
          </w:tcPr>
          <w:p>
            <w:pPr>
              <w:jc w:val="right"/>
              <w:spacing w:after="0"/>
              <w:rPr>
                <w:sz w:val="20"/>
                <w:szCs w:val="20"/>
                <w:color w:val="auto"/>
              </w:rPr>
            </w:pPr>
            <w:r>
              <w:rPr>
                <w:rFonts w:ascii="Arial" w:cs="Arial" w:eastAsia="Arial" w:hAnsi="Arial"/>
                <w:sz w:val="8"/>
                <w:szCs w:val="8"/>
                <w:color w:val="auto"/>
                <w:w w:val="73"/>
              </w:rPr>
              <w:t>)</w:t>
            </w:r>
          </w:p>
        </w:tc>
      </w:tr>
      <w:tr>
        <w:trPr>
          <w:trHeight w:val="21"/>
        </w:trPr>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32"/>
        </w:trPr>
        <w:tc>
          <w:tcPr>
            <w:tcW w:w="1380" w:type="dxa"/>
            <w:vAlign w:val="bottom"/>
            <w:gridSpan w:val="2"/>
          </w:tcPr>
          <w:p>
            <w:pPr>
              <w:jc w:val="right"/>
              <w:ind w:right="121"/>
              <w:spacing w:after="0"/>
              <w:rPr>
                <w:sz w:val="20"/>
                <w:szCs w:val="20"/>
                <w:color w:val="auto"/>
              </w:rPr>
            </w:pPr>
            <w:r>
              <w:rPr>
                <w:rFonts w:ascii="Arial" w:cs="Arial" w:eastAsia="Arial" w:hAnsi="Arial"/>
                <w:sz w:val="18"/>
                <w:szCs w:val="18"/>
                <w:color w:val="auto"/>
              </w:rPr>
              <w:t>(0.84)</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(0.77)</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(0.28)</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(0.29)</w:t>
            </w:r>
          </w:p>
        </w:tc>
      </w:tr>
      <w:tr>
        <w:trPr>
          <w:trHeight w:val="480"/>
        </w:trPr>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47,486</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32,209</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47,851</w:t>
            </w:r>
          </w:p>
        </w:tc>
        <w:tc>
          <w:tcPr>
            <w:tcW w:w="1160" w:type="dxa"/>
            <w:vAlign w:val="bottom"/>
            <w:gridSpan w:val="3"/>
          </w:tcPr>
          <w:p>
            <w:pPr>
              <w:jc w:val="right"/>
              <w:ind w:right="1"/>
              <w:spacing w:after="0"/>
              <w:rPr>
                <w:sz w:val="20"/>
                <w:szCs w:val="20"/>
                <w:color w:val="auto"/>
              </w:rPr>
            </w:pPr>
            <w:r>
              <w:rPr>
                <w:rFonts w:ascii="Arial" w:cs="Arial" w:eastAsia="Arial" w:hAnsi="Arial"/>
                <w:sz w:val="18"/>
                <w:szCs w:val="18"/>
                <w:color w:val="auto"/>
              </w:rPr>
              <w:t>38,020</w:t>
            </w:r>
          </w:p>
        </w:tc>
        <w:tc>
          <w:tcPr>
            <w:tcW w:w="20" w:type="dxa"/>
            <w:vAlign w:val="bottom"/>
          </w:tcPr>
          <w:p>
            <w:pPr>
              <w:spacing w:after="0"/>
              <w:rPr>
                <w:sz w:val="24"/>
                <w:szCs w:val="24"/>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2"/>
        </w:trPr>
        <w:tc>
          <w:tcPr>
            <w:tcW w:w="1380" w:type="dxa"/>
            <w:vAlign w:val="bottom"/>
            <w:gridSpan w:val="2"/>
          </w:tcPr>
          <w:p>
            <w:pPr>
              <w:jc w:val="right"/>
              <w:ind w:right="121"/>
              <w:spacing w:after="0"/>
              <w:rPr>
                <w:sz w:val="20"/>
                <w:szCs w:val="20"/>
                <w:color w:val="auto"/>
              </w:rPr>
            </w:pPr>
            <w:r>
              <w:rPr>
                <w:rFonts w:ascii="Arial" w:cs="Arial" w:eastAsia="Arial" w:hAnsi="Arial"/>
                <w:sz w:val="18"/>
                <w:szCs w:val="18"/>
                <w:color w:val="auto"/>
              </w:rPr>
              <w:t>(39,763)</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(24,842)</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(13,469)</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(11,056)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-1825625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-1550670</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-1250950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-916940</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-616585</wp:posOffset>
            </wp:positionV>
            <wp:extent cx="7132320" cy="317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-136525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5260" w:space="720"/>
            <w:col w:w="52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from available- for-sale securities</w:t>
            </w:r>
          </w:p>
        </w:tc>
        <w:tc>
          <w:tcPr>
            <w:tcW w:w="278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(190)</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(74)</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5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comprehensive loss</w:t>
            </w:r>
          </w:p>
        </w:tc>
        <w:tc>
          <w:tcPr>
            <w:tcW w:w="1400" w:type="dxa"/>
            <w:vAlign w:val="bottom"/>
            <w:tcBorders>
              <w:top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(39,953</w:t>
            </w:r>
          </w:p>
        </w:tc>
        <w:tc>
          <w:tcPr>
            <w:tcW w:w="260" w:type="dxa"/>
            <w:vAlign w:val="bottom"/>
            <w:tcBorders>
              <w:top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(24,842</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(13,543</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(11,056</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0" w:type="dxa"/>
            <w:vAlign w:val="bottom"/>
            <w:vMerge w:val="restart"/>
          </w:tcPr>
          <w:p>
            <w:pPr>
              <w:jc w:val="right"/>
              <w:ind w:right="230"/>
              <w:spacing w:after="0"/>
              <w:rPr>
                <w:sz w:val="20"/>
                <w:szCs w:val="20"/>
                <w:color w:val="auto"/>
              </w:rPr>
            </w:pPr>
            <w:r>
              <w:rPr>
                <w:rFonts w:ascii="Arial" w:cs="Arial" w:eastAsia="Arial" w:hAnsi="Arial"/>
                <w:sz w:val="18"/>
                <w:szCs w:val="18"/>
                <w:color w:val="auto"/>
              </w:rPr>
              <w:t>8</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3362960</wp:posOffset>
            </wp:positionH>
            <wp:positionV relativeFrom="page">
              <wp:posOffset>586105</wp:posOffset>
            </wp:positionV>
            <wp:extent cx="831850" cy="763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83185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METRICS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Nine Months Ended</w:t>
            </w:r>
          </w:p>
        </w:tc>
        <w:tc>
          <w:tcPr>
            <w:tcW w:w="2540" w:type="dxa"/>
            <w:vAlign w:val="bottom"/>
            <w:gridSpan w:val="4"/>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72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540" w:type="dxa"/>
            <w:vAlign w:val="bottom"/>
            <w:gridSpan w:val="4"/>
          </w:tcPr>
          <w:p>
            <w:pPr>
              <w:ind w:left="6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5160" w:type="dxa"/>
            <w:vAlign w:val="bottom"/>
            <w:gridSpan w:val="7"/>
          </w:tcPr>
          <w:p>
            <w:pPr>
              <w:jc w:val="right"/>
              <w:ind w:right="470"/>
              <w:spacing w:after="0"/>
              <w:rPr>
                <w:sz w:val="20"/>
                <w:szCs w:val="20"/>
                <w:color w:val="auto"/>
              </w:rPr>
            </w:pPr>
            <w:r>
              <w:rPr>
                <w:rFonts w:ascii="Arial" w:cs="Arial" w:eastAsia="Arial" w:hAnsi="Arial"/>
                <w:sz w:val="18"/>
                <w:szCs w:val="18"/>
                <w:b w:val="1"/>
                <w:bCs w:val="1"/>
                <w:color w:val="auto"/>
              </w:rPr>
              <w:t>(U.S. dollars in thousands, except for per share data)</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5980" w:type="dxa"/>
            <w:vAlign w:val="bottom"/>
          </w:tcPr>
          <w:p>
            <w:pPr>
              <w:spacing w:after="0"/>
              <w:rPr>
                <w:sz w:val="20"/>
                <w:szCs w:val="20"/>
                <w:color w:val="auto"/>
              </w:rPr>
            </w:pPr>
            <w:r>
              <w:rPr>
                <w:rFonts w:ascii="Arial" w:cs="Arial" w:eastAsia="Arial" w:hAnsi="Arial"/>
                <w:sz w:val="18"/>
                <w:szCs w:val="18"/>
                <w:b w:val="1"/>
                <w:bCs w:val="1"/>
                <w:color w:val="auto"/>
                <w:w w:val="98"/>
              </w:rPr>
              <w:t>Reconciliation of GAAP net loss attributable to ordinary shares to Non-</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GAAP net loss attributable to ordinary shares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net loss attributable to ordinary shares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39,763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24,842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13,469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Non-GAAP adjustments: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Class-actions litigation and SEC matter</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Secondary offering expenses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981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13,963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14,296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Non-GAAP net loss attributable to ordinary shares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24,154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10,546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8,482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5,107</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ind w:left="180"/>
              <w:spacing w:after="0" w:line="198" w:lineRule="exact"/>
              <w:rPr>
                <w:sz w:val="20"/>
                <w:szCs w:val="20"/>
                <w:color w:val="auto"/>
              </w:rPr>
            </w:pPr>
            <w:r>
              <w:rPr>
                <w:rFonts w:ascii="Arial" w:cs="Arial" w:eastAsia="Arial" w:hAnsi="Arial"/>
                <w:sz w:val="18"/>
                <w:szCs w:val="18"/>
                <w:b w:val="1"/>
                <w:bCs w:val="1"/>
                <w:color w:val="auto"/>
              </w:rPr>
              <w:t>WEIGHTED  AVERAGE  NUMBER  OF  ORDINARY  SHARES  (in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thousands)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47,486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32,209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47,851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38,020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Arial" w:cs="Arial" w:eastAsia="Arial" w:hAnsi="Arial"/>
                <w:sz w:val="18"/>
                <w:szCs w:val="18"/>
                <w:b w:val="1"/>
                <w:bCs w:val="1"/>
                <w:color w:val="auto"/>
                <w:w w:val="92"/>
              </w:rPr>
              <w:t>Reconciliation of GAAP research and development expenses to Non-GAAP</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research and development expenses (U.S. dollars in thousands)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GAAP research and development expenses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10,760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6,258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3,708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Non-GAAP adjustments: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2,257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2,512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702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Non-GAAP research and development expenses</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8,503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Reconciliation of GAAP marketing expenses to Non-GAAP marketing</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expenses (U.S. dollars in thousands)</w:t>
            </w: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marketing expenses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5,093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Non-GAAP adjustments: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marketing expenses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3,160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Reconciliation of GAAP general and administrative expenses to Non-GAAP</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general and administrative expenses (U.S. dollars in thousands)</w:t>
            </w: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general and administrative expenses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23,790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14,195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Non-GAAP adjustments: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Class-actions litigation and SEC matter</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Secondary offering expenses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981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9,773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8,940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general and administrative expenses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12,371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8"/>
                <w:szCs w:val="18"/>
                <w:color w:val="auto"/>
              </w:rPr>
              <w:t>9</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9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2021-11-17T07:00:26Z</dcterms:created>
  <dcterms:modified xsi:type="dcterms:W3CDTF">2021-11-17T07:00:26Z</dcterms:modified>
</cp:coreProperties>
</file>