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7363-6k_nanox.htm"/>
      <w:bookmarkStart w:id="1" w:name="ksea03073636k_nanox"/>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w:t>
        <w:b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month of </w:t>
      </w:r>
      <w:r>
        <w:rPr>
          <w:rFonts w:ascii="Times New Roman;Times;Serif" w:hAnsi="Times New Roman;Times;Serif"/>
          <w:b/>
          <w:i w:val="false"/>
          <w:caps w:val="false"/>
          <w:smallCaps w:val="false"/>
          <w:sz w:val="20"/>
        </w:rPr>
        <w:t>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r>
        <w:rPr>
          <w:rFonts w:ascii="Times New Roman;Times;Serif" w:hAnsi="Times New Roman;Times;Serif"/>
          <w:b/>
          <w:i w:val="false"/>
          <w:caps w:val="false"/>
          <w:smallCaps w:val="false"/>
          <w:sz w:val="20"/>
        </w:rPr>
        <w:t>001-39461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NANO-X IMAGING LTD</w:t>
        <w:br/>
        <w:t>Ofer Tech Park</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Petach Tikva, Israel 4970602</w:t>
        <w:br/>
      </w: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Failure to Satisfy a Continued Listing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28, 2026, NANO-X IMAGING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Nanox,</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we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us</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our</w:t>
      </w:r>
      <w:r>
        <w:rPr>
          <w:rFonts w:ascii="Times New Roman;Times;Serif" w:hAnsi="Times New Roman;Times;Serif"/>
          <w:b w:val="false"/>
          <w:i w:val="false"/>
          <w:caps w:val="false"/>
          <w:smallCaps w:val="false"/>
          <w:sz w:val="20"/>
        </w:rPr>
        <w:t>”) received written notification (the “</w:t>
      </w: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from the Nasdaq Stock Market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that, because the closing bid price for the Company’s ordinary shares, par value NIS 0.01 per share (the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has fallen below $1.00 per share for 30 consecutive business days, the Company no longer complies with the minimum bid price requirement for continued listing on the Nasdaq Global Market, pursuant to Nasdaq Listing Rule 5450(a)(1) (the “</w:t>
      </w:r>
      <w:r>
        <w:rPr>
          <w:rFonts w:ascii="Times New Roman;Times;Serif" w:hAnsi="Times New Roman;Times;Serif"/>
          <w:b/>
          <w:i w:val="false"/>
          <w:caps w:val="false"/>
          <w:smallCaps w:val="false"/>
          <w:sz w:val="20"/>
        </w:rPr>
        <w:t>Bid Price Requirement</w:t>
      </w:r>
      <w:r>
        <w:rPr>
          <w:rFonts w:ascii="Times New Roman;Times;Serif" w:hAnsi="Times New Roman;Times;Serif"/>
          <w:b w:val="false"/>
          <w:i w:val="false"/>
          <w:caps w:val="false"/>
          <w:smallCaps w:val="false"/>
          <w:sz w:val="20"/>
        </w:rPr>
        <w:t>”).</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has no immediate effect on the listing of the Ordinary Shares on the Nasdaq Global Market. Pursuant to Nasdaq Listing Rule 5810(c)(3)(A), the Company has been provided an initial compliance period of 180 calendar days, or until March 29, 2027, to regain compliance with the Bid Price Requirement. To regain compliance, the closing bid price of the Ordinary Shares must meet or exceed $1.00 per share for a minimum of 10 consecutive business days prior to March 29, 2027. If the Company does not regain compliance by March 29, 2027, the Company may be eligible for an additional 180 calendar day grace period if it transfers the listing of its Ordinary Shares to the Nasdaq Capital Market.</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monitor the closing bid price of its Ordinary Shares and consider available options to regain compliance with the Bid Price Requirement, but no decisions about a response have been made at this time. There can be no assurance that the Company will be able to regain compliance with the Bid Price Requirement or will otherwise remain in compliance with other Nasdaq listing criteria.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065" w:type="dxa"/>
        <w:jc w:val="left"/>
        <w:tblInd w:w="0" w:type="dxa"/>
        <w:tblLayout w:type="fixed"/>
        <w:tblCellMar>
          <w:top w:w="0" w:type="dxa"/>
          <w:left w:w="0" w:type="dxa"/>
          <w:bottom w:w="0" w:type="dxa"/>
          <w:right w:w="0" w:type="dxa"/>
        </w:tblCellMar>
      </w:tblPr>
      <w:tblGrid>
        <w:gridCol w:w="75"/>
        <w:gridCol w:w="365"/>
        <w:gridCol w:w="710"/>
        <w:gridCol w:w="2915"/>
      </w:tblGrid>
      <w:tr>
        <w:trPr/>
        <w:tc>
          <w:tcPr>
            <w:tcW w:w="75" w:type="dxa"/>
            <w:tcBorders/>
            <w:vAlign w:val="center"/>
          </w:tcPr>
          <w:p>
            <w:pPr>
              <w:pStyle w:val="TableContents"/>
              <w:bidi w:val="0"/>
              <w:spacing w:before="0" w:after="283"/>
              <w:jc w:val="left"/>
              <w:rPr/>
            </w:pPr>
            <w:r>
              <w:rPr/>
              <w:t> </w:t>
            </w:r>
          </w:p>
        </w:tc>
        <w:tc>
          <w:tcPr>
            <w:tcW w:w="3990" w:type="dxa"/>
            <w:gridSpan w:val="3"/>
            <w:tcBorders/>
            <w:vAlign w:val="center"/>
          </w:tcPr>
          <w:p>
            <w:pPr>
              <w:pStyle w:val="TableContents"/>
              <w:bidi w:val="0"/>
              <w:spacing w:before="0" w:after="283"/>
              <w:jc w:val="left"/>
              <w:rPr/>
            </w:pPr>
            <w:r>
              <w:rPr/>
              <w:t>NANO-X IMAGING LTD</w:t>
            </w:r>
          </w:p>
        </w:tc>
      </w:tr>
      <w:tr>
        <w:trPr/>
        <w:tc>
          <w:tcPr>
            <w:tcW w:w="75" w:type="dxa"/>
            <w:tcBorders/>
            <w:vAlign w:val="center"/>
          </w:tcPr>
          <w:p>
            <w:pPr>
              <w:pStyle w:val="TableContents"/>
              <w:bidi w:val="0"/>
              <w:spacing w:before="0" w:after="283"/>
              <w:jc w:val="left"/>
              <w:rPr/>
            </w:pPr>
            <w:r>
              <w:rPr/>
              <w:t> </w:t>
            </w:r>
          </w:p>
        </w:tc>
        <w:tc>
          <w:tcPr>
            <w:tcW w:w="399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625" w:type="dxa"/>
            <w:gridSpan w:val="2"/>
            <w:tcBorders>
              <w:bottom w:val="single" w:sz="12" w:space="0" w:color="000000"/>
            </w:tcBorders>
            <w:tcMar>
              <w:bottom w:w="28" w:type="dxa"/>
            </w:tcMar>
            <w:vAlign w:val="center"/>
          </w:tcPr>
          <w:p>
            <w:pPr>
              <w:pStyle w:val="TableContents"/>
              <w:bidi w:val="0"/>
              <w:spacing w:before="0" w:after="283"/>
              <w:jc w:val="left"/>
              <w:rPr/>
            </w:pPr>
            <w:r>
              <w:rPr/>
              <w:t>/s/ Erez Meltzer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Name: </w:t>
            </w:r>
          </w:p>
        </w:tc>
        <w:tc>
          <w:tcPr>
            <w:tcW w:w="2915" w:type="dxa"/>
            <w:tcBorders/>
            <w:vAlign w:val="center"/>
          </w:tcPr>
          <w:p>
            <w:pPr>
              <w:pStyle w:val="TableContents"/>
              <w:bidi w:val="0"/>
              <w:spacing w:before="0" w:after="283"/>
              <w:jc w:val="left"/>
              <w:rPr/>
            </w:pPr>
            <w:r>
              <w:rPr/>
              <w:t>Erez Meltzer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2915" w:type="dxa"/>
            <w:tcBorders/>
            <w:vAlign w:val="center"/>
          </w:tcPr>
          <w:p>
            <w:pPr>
              <w:pStyle w:val="TableContents"/>
              <w:bidi w:val="0"/>
              <w:spacing w:before="0" w:after="283"/>
              <w:jc w:val="left"/>
              <w:rPr/>
            </w:pPr>
            <w:r>
              <w:rPr/>
              <w:t>Chief Executive Officer and</w:t>
              <w:br/>
              <w:t>Acting Chairman of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419</Words>
  <Characters>2158</Characters>
  <CharactersWithSpaces>2594</CharactersWithSpaces>
  <Paragraphs>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